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1617D" w14:textId="77777777" w:rsidR="00EB1DA2" w:rsidRPr="00D348A0" w:rsidRDefault="00EB1DA2" w:rsidP="00EB1DA2">
      <w:pPr>
        <w:spacing w:before="40" w:after="40" w:line="276" w:lineRule="auto"/>
        <w:jc w:val="both"/>
        <w:rPr>
          <w:rFonts w:ascii="Arial" w:hAnsi="Arial" w:cs="Arial"/>
          <w:b/>
        </w:rPr>
      </w:pPr>
      <w:r w:rsidRPr="00D348A0">
        <w:rPr>
          <w:rFonts w:ascii="Arial" w:hAnsi="Arial" w:cs="Arial"/>
          <w:b/>
        </w:rPr>
        <w:t xml:space="preserve">Purpose </w:t>
      </w:r>
    </w:p>
    <w:p w14:paraId="3145DEFD" w14:textId="151D5D0F" w:rsidR="00EB1DA2" w:rsidRPr="00D348A0" w:rsidRDefault="00EB1DA2" w:rsidP="00EB1DA2">
      <w:pPr>
        <w:spacing w:before="40" w:after="40" w:line="276" w:lineRule="auto"/>
        <w:jc w:val="both"/>
        <w:rPr>
          <w:rFonts w:ascii="Arial" w:hAnsi="Arial" w:cs="Arial"/>
          <w:sz w:val="20"/>
          <w:szCs w:val="20"/>
        </w:rPr>
      </w:pPr>
      <w:r w:rsidRPr="00D348A0">
        <w:rPr>
          <w:rFonts w:ascii="Arial" w:hAnsi="Arial" w:cs="Arial"/>
          <w:sz w:val="20"/>
          <w:szCs w:val="20"/>
        </w:rPr>
        <w:t>To explain the Investigator reporting requirements to Bellberry HREC in the event of a serious breach, protocol violation or protocol deviation as per ‘</w:t>
      </w:r>
      <w:hyperlink r:id="rId10" w:tgtFrame="_blank" w:history="1">
        <w:r w:rsidRPr="00EB1DA2">
          <w:rPr>
            <w:rStyle w:val="Hyperlink"/>
            <w:rFonts w:ascii="Arial" w:hAnsi="Arial" w:cs="Arial"/>
            <w:bCs/>
            <w:sz w:val="20"/>
            <w:szCs w:val="20"/>
          </w:rPr>
          <w:t>Reporting of Serious Breaches of Good Clinical Practice (GCP) or the Protocol for Trials Involving Therapeutic Goods</w:t>
        </w:r>
        <w:r w:rsidRPr="00EB1DA2">
          <w:rPr>
            <w:rStyle w:val="Hyperlink"/>
            <w:rFonts w:ascii="Arial" w:hAnsi="Arial" w:cs="Arial"/>
            <w:sz w:val="20"/>
            <w:szCs w:val="20"/>
          </w:rPr>
          <w:t>’ guidelines</w:t>
        </w:r>
      </w:hyperlink>
      <w:r w:rsidRPr="00D348A0">
        <w:rPr>
          <w:rFonts w:ascii="Arial" w:hAnsi="Arial" w:cs="Arial"/>
          <w:sz w:val="20"/>
          <w:szCs w:val="20"/>
        </w:rPr>
        <w:t xml:space="preserve"> of the National Health and Medical Research Council (NHMRC).</w:t>
      </w:r>
      <w:r w:rsidR="005729D2">
        <w:rPr>
          <w:rFonts w:ascii="Arial" w:hAnsi="Arial" w:cs="Arial"/>
          <w:sz w:val="20"/>
          <w:szCs w:val="20"/>
        </w:rPr>
        <w:t xml:space="preserve"> </w:t>
      </w:r>
    </w:p>
    <w:p w14:paraId="60885CEF" w14:textId="77777777" w:rsidR="00EB1DA2" w:rsidRPr="00D348A0" w:rsidRDefault="00EB1DA2" w:rsidP="00EB1DA2">
      <w:pPr>
        <w:spacing w:before="40" w:after="40" w:line="276" w:lineRule="auto"/>
        <w:jc w:val="both"/>
        <w:rPr>
          <w:rFonts w:ascii="Arial" w:hAnsi="Arial" w:cs="Arial"/>
          <w:sz w:val="20"/>
          <w:szCs w:val="20"/>
        </w:rPr>
      </w:pPr>
    </w:p>
    <w:p w14:paraId="6A623289" w14:textId="77777777" w:rsidR="00EB1DA2" w:rsidRPr="00D348A0" w:rsidRDefault="00EB1DA2" w:rsidP="00EB1DA2">
      <w:pPr>
        <w:spacing w:before="40" w:after="40" w:line="276" w:lineRule="auto"/>
        <w:jc w:val="both"/>
        <w:rPr>
          <w:rFonts w:ascii="Arial" w:hAnsi="Arial" w:cs="Arial"/>
          <w:b/>
        </w:rPr>
      </w:pPr>
      <w:r w:rsidRPr="00D348A0">
        <w:rPr>
          <w:rFonts w:ascii="Arial" w:hAnsi="Arial" w:cs="Arial"/>
          <w:b/>
        </w:rPr>
        <w:t>Definitions</w:t>
      </w:r>
    </w:p>
    <w:p w14:paraId="54399952" w14:textId="77777777" w:rsidR="00EB1DA2" w:rsidRPr="00D348A0" w:rsidRDefault="00EB1DA2" w:rsidP="00EB1DA2">
      <w:pPr>
        <w:spacing w:before="40" w:after="40" w:line="276" w:lineRule="auto"/>
        <w:jc w:val="both"/>
        <w:rPr>
          <w:rFonts w:ascii="Arial" w:hAnsi="Arial" w:cs="Arial"/>
          <w:sz w:val="20"/>
          <w:szCs w:val="20"/>
        </w:rPr>
      </w:pPr>
      <w:r w:rsidRPr="00D348A0">
        <w:rPr>
          <w:rFonts w:ascii="Arial" w:hAnsi="Arial" w:cs="Arial"/>
          <w:b/>
          <w:i/>
          <w:sz w:val="20"/>
          <w:szCs w:val="20"/>
        </w:rPr>
        <w:t>Serious breach:</w:t>
      </w:r>
      <w:r w:rsidRPr="00D348A0">
        <w:rPr>
          <w:rFonts w:ascii="Arial" w:hAnsi="Arial" w:cs="Arial"/>
          <w:bCs/>
          <w:iCs/>
          <w:sz w:val="20"/>
          <w:szCs w:val="20"/>
        </w:rPr>
        <w:t xml:space="preserve"> is</w:t>
      </w:r>
      <w:r w:rsidRPr="00D348A0">
        <w:rPr>
          <w:rFonts w:ascii="Arial" w:hAnsi="Arial" w:cs="Arial"/>
          <w:sz w:val="20"/>
          <w:szCs w:val="20"/>
        </w:rPr>
        <w:t xml:space="preserve"> a breach of Good Clinical Practice or the protocol that is likely to affect to a significant degree the safety or rights of a research participant or the reliability and robustness of the data generated in the research project.</w:t>
      </w:r>
      <w:r>
        <w:rPr>
          <w:rFonts w:ascii="Arial" w:hAnsi="Arial" w:cs="Arial"/>
          <w:sz w:val="20"/>
          <w:szCs w:val="20"/>
        </w:rPr>
        <w:t xml:space="preserve"> </w:t>
      </w:r>
      <w:r w:rsidRPr="00D348A0">
        <w:rPr>
          <w:rFonts w:ascii="Arial" w:hAnsi="Arial" w:cs="Arial"/>
          <w:sz w:val="20"/>
          <w:szCs w:val="20"/>
        </w:rPr>
        <w:t>Sponsors have primary responsibility for determining whether any suspected breach meets the definition of a serious breach</w:t>
      </w:r>
      <w:r>
        <w:rPr>
          <w:rFonts w:ascii="Arial" w:hAnsi="Arial" w:cs="Arial"/>
          <w:sz w:val="20"/>
          <w:szCs w:val="20"/>
        </w:rPr>
        <w:t>.</w:t>
      </w:r>
      <w:r w:rsidRPr="00D348A0">
        <w:rPr>
          <w:rFonts w:ascii="Arial" w:hAnsi="Arial" w:cs="Arial"/>
          <w:sz w:val="20"/>
          <w:szCs w:val="20"/>
        </w:rPr>
        <w:t xml:space="preserve"> Examples may include</w:t>
      </w:r>
      <w:r>
        <w:rPr>
          <w:rFonts w:ascii="Arial" w:hAnsi="Arial" w:cs="Arial"/>
          <w:sz w:val="20"/>
          <w:szCs w:val="20"/>
        </w:rPr>
        <w:t xml:space="preserve"> (</w:t>
      </w:r>
      <w:r w:rsidRPr="003A1BE9">
        <w:rPr>
          <w:rStyle w:val="Emphasis"/>
          <w:rFonts w:ascii="Arial" w:hAnsi="Arial" w:cs="Arial"/>
          <w:color w:val="0E101A"/>
          <w:sz w:val="20"/>
          <w:szCs w:val="20"/>
        </w:rPr>
        <w:t>Please see Appendix 1 for further examples of serious breaches from the NHMRC</w:t>
      </w:r>
      <w:r>
        <w:rPr>
          <w:rStyle w:val="Emphasis"/>
          <w:rFonts w:ascii="Arial" w:hAnsi="Arial" w:cs="Arial"/>
          <w:color w:val="0E101A"/>
          <w:sz w:val="20"/>
          <w:szCs w:val="20"/>
        </w:rPr>
        <w:t>)</w:t>
      </w:r>
      <w:r w:rsidRPr="00D348A0">
        <w:rPr>
          <w:rFonts w:ascii="Arial" w:hAnsi="Arial" w:cs="Arial"/>
          <w:sz w:val="20"/>
          <w:szCs w:val="20"/>
        </w:rPr>
        <w:t>:</w:t>
      </w:r>
    </w:p>
    <w:p w14:paraId="40BBB9AD" w14:textId="77777777" w:rsidR="00EB1DA2" w:rsidRPr="00D348A0" w:rsidRDefault="00EB1DA2" w:rsidP="00EB1DA2">
      <w:pPr>
        <w:numPr>
          <w:ilvl w:val="0"/>
          <w:numId w:val="1"/>
        </w:numPr>
        <w:tabs>
          <w:tab w:val="clear" w:pos="720"/>
        </w:tabs>
        <w:spacing w:before="40" w:after="40" w:line="276" w:lineRule="auto"/>
        <w:ind w:left="567" w:hanging="357"/>
        <w:jc w:val="both"/>
        <w:rPr>
          <w:rFonts w:ascii="Arial" w:hAnsi="Arial" w:cs="Arial"/>
          <w:sz w:val="20"/>
          <w:szCs w:val="20"/>
        </w:rPr>
      </w:pPr>
      <w:r w:rsidRPr="00D348A0">
        <w:rPr>
          <w:rFonts w:ascii="Arial" w:hAnsi="Arial" w:cs="Arial"/>
          <w:sz w:val="20"/>
          <w:szCs w:val="20"/>
        </w:rPr>
        <w:t xml:space="preserve">Failure to appropriately obtain informed consent, i.e., there is no documentation of informed consent or informed consent was obtained after initiation of study procedures. </w:t>
      </w:r>
    </w:p>
    <w:p w14:paraId="7CCF0859" w14:textId="77777777" w:rsidR="00EB1DA2" w:rsidRPr="00D348A0" w:rsidRDefault="00EB1DA2" w:rsidP="00EB1DA2">
      <w:pPr>
        <w:numPr>
          <w:ilvl w:val="0"/>
          <w:numId w:val="1"/>
        </w:numPr>
        <w:tabs>
          <w:tab w:val="clear" w:pos="720"/>
        </w:tabs>
        <w:spacing w:before="40" w:after="40" w:line="276" w:lineRule="auto"/>
        <w:ind w:left="567"/>
        <w:jc w:val="both"/>
        <w:rPr>
          <w:rFonts w:ascii="Arial" w:hAnsi="Arial" w:cs="Arial"/>
          <w:sz w:val="20"/>
          <w:szCs w:val="20"/>
        </w:rPr>
      </w:pPr>
      <w:r w:rsidRPr="00D348A0">
        <w:rPr>
          <w:rFonts w:ascii="Arial" w:hAnsi="Arial" w:cs="Arial"/>
          <w:sz w:val="20"/>
          <w:szCs w:val="20"/>
        </w:rPr>
        <w:t xml:space="preserve">Enrolment of a participant who did not meet all inclusion/exclusion criteria. </w:t>
      </w:r>
    </w:p>
    <w:p w14:paraId="2D802AC1" w14:textId="77777777" w:rsidR="00EB1DA2" w:rsidRPr="00D348A0" w:rsidRDefault="00EB1DA2" w:rsidP="00EB1DA2">
      <w:pPr>
        <w:numPr>
          <w:ilvl w:val="0"/>
          <w:numId w:val="1"/>
        </w:numPr>
        <w:tabs>
          <w:tab w:val="clear" w:pos="720"/>
        </w:tabs>
        <w:spacing w:before="40" w:after="40" w:line="276" w:lineRule="auto"/>
        <w:ind w:left="567"/>
        <w:jc w:val="both"/>
        <w:rPr>
          <w:rFonts w:ascii="Arial" w:hAnsi="Arial" w:cs="Arial"/>
          <w:sz w:val="20"/>
          <w:szCs w:val="20"/>
        </w:rPr>
      </w:pPr>
      <w:r w:rsidRPr="00D348A0">
        <w:rPr>
          <w:rFonts w:ascii="Arial" w:hAnsi="Arial" w:cs="Arial"/>
          <w:sz w:val="20"/>
          <w:szCs w:val="20"/>
        </w:rPr>
        <w:t xml:space="preserve">Performing a study procedure not approved by the HREC. </w:t>
      </w:r>
    </w:p>
    <w:p w14:paraId="28F501A9" w14:textId="77777777" w:rsidR="00EB1DA2" w:rsidRPr="00D348A0" w:rsidRDefault="00EB1DA2" w:rsidP="00EB1DA2">
      <w:pPr>
        <w:numPr>
          <w:ilvl w:val="0"/>
          <w:numId w:val="1"/>
        </w:numPr>
        <w:tabs>
          <w:tab w:val="clear" w:pos="720"/>
        </w:tabs>
        <w:spacing w:before="40" w:after="40" w:line="276" w:lineRule="auto"/>
        <w:ind w:left="567"/>
        <w:jc w:val="both"/>
        <w:rPr>
          <w:rFonts w:ascii="Arial" w:hAnsi="Arial" w:cs="Arial"/>
          <w:sz w:val="20"/>
          <w:szCs w:val="20"/>
        </w:rPr>
      </w:pPr>
      <w:r w:rsidRPr="00D348A0">
        <w:rPr>
          <w:rFonts w:ascii="Arial" w:hAnsi="Arial" w:cs="Arial"/>
          <w:sz w:val="20"/>
          <w:szCs w:val="20"/>
        </w:rPr>
        <w:t xml:space="preserve">Failure to report a serious adverse event to the HREC and/or sponsor. </w:t>
      </w:r>
    </w:p>
    <w:p w14:paraId="5A4D782D" w14:textId="77777777" w:rsidR="00EB1DA2" w:rsidRPr="00D348A0" w:rsidRDefault="00EB1DA2" w:rsidP="00EB1DA2">
      <w:pPr>
        <w:numPr>
          <w:ilvl w:val="0"/>
          <w:numId w:val="1"/>
        </w:numPr>
        <w:tabs>
          <w:tab w:val="clear" w:pos="720"/>
        </w:tabs>
        <w:spacing w:before="40" w:after="40" w:line="276" w:lineRule="auto"/>
        <w:ind w:left="567"/>
        <w:jc w:val="both"/>
        <w:rPr>
          <w:rFonts w:ascii="Arial" w:hAnsi="Arial" w:cs="Arial"/>
          <w:sz w:val="20"/>
          <w:szCs w:val="20"/>
        </w:rPr>
      </w:pPr>
      <w:r w:rsidRPr="00D348A0">
        <w:rPr>
          <w:rFonts w:ascii="Arial" w:hAnsi="Arial" w:cs="Arial"/>
          <w:sz w:val="20"/>
          <w:szCs w:val="20"/>
        </w:rPr>
        <w:t xml:space="preserve">Failure to perform a required laboratory test that, in the opinion of the PI, may affect participant safety or data integrity. </w:t>
      </w:r>
    </w:p>
    <w:p w14:paraId="690830A2" w14:textId="77777777" w:rsidR="00EB1DA2" w:rsidRPr="00D348A0" w:rsidRDefault="00EB1DA2" w:rsidP="00EB1DA2">
      <w:pPr>
        <w:numPr>
          <w:ilvl w:val="0"/>
          <w:numId w:val="1"/>
        </w:numPr>
        <w:tabs>
          <w:tab w:val="clear" w:pos="720"/>
        </w:tabs>
        <w:spacing w:before="40" w:after="40" w:line="276" w:lineRule="auto"/>
        <w:ind w:left="567"/>
        <w:jc w:val="both"/>
        <w:rPr>
          <w:rFonts w:ascii="Arial" w:hAnsi="Arial" w:cs="Arial"/>
          <w:sz w:val="20"/>
          <w:szCs w:val="20"/>
        </w:rPr>
      </w:pPr>
      <w:r w:rsidRPr="00D348A0">
        <w:rPr>
          <w:rFonts w:ascii="Arial" w:hAnsi="Arial" w:cs="Arial"/>
          <w:sz w:val="20"/>
          <w:szCs w:val="20"/>
        </w:rPr>
        <w:t xml:space="preserve">Drug/study medication dispensing or dosing error. </w:t>
      </w:r>
    </w:p>
    <w:p w14:paraId="7A3EB255" w14:textId="77777777" w:rsidR="00EB1DA2" w:rsidRPr="00D348A0" w:rsidRDefault="00EB1DA2" w:rsidP="00EB1DA2">
      <w:pPr>
        <w:numPr>
          <w:ilvl w:val="0"/>
          <w:numId w:val="1"/>
        </w:numPr>
        <w:tabs>
          <w:tab w:val="clear" w:pos="720"/>
        </w:tabs>
        <w:spacing w:before="40" w:after="40" w:line="276" w:lineRule="auto"/>
        <w:ind w:left="567"/>
        <w:jc w:val="both"/>
        <w:rPr>
          <w:rFonts w:ascii="Arial" w:hAnsi="Arial" w:cs="Arial"/>
          <w:sz w:val="20"/>
          <w:szCs w:val="20"/>
        </w:rPr>
      </w:pPr>
      <w:r w:rsidRPr="00D348A0">
        <w:rPr>
          <w:rFonts w:ascii="Arial" w:hAnsi="Arial" w:cs="Arial"/>
          <w:sz w:val="20"/>
          <w:szCs w:val="20"/>
        </w:rPr>
        <w:t xml:space="preserve">Study visit conducted outside of required timeframe that, in the opinion of the PI, may affect participant safety or data integrity. </w:t>
      </w:r>
    </w:p>
    <w:p w14:paraId="524C4DE8" w14:textId="77777777" w:rsidR="00EB1DA2" w:rsidRPr="00D348A0" w:rsidRDefault="00EB1DA2" w:rsidP="00EB1DA2">
      <w:pPr>
        <w:numPr>
          <w:ilvl w:val="0"/>
          <w:numId w:val="1"/>
        </w:numPr>
        <w:tabs>
          <w:tab w:val="clear" w:pos="720"/>
        </w:tabs>
        <w:spacing w:before="40" w:after="40" w:line="276" w:lineRule="auto"/>
        <w:ind w:left="567"/>
        <w:jc w:val="both"/>
        <w:rPr>
          <w:rFonts w:ascii="Arial" w:hAnsi="Arial" w:cs="Arial"/>
          <w:sz w:val="20"/>
          <w:szCs w:val="20"/>
        </w:rPr>
      </w:pPr>
      <w:r w:rsidRPr="00D348A0">
        <w:rPr>
          <w:rFonts w:ascii="Arial" w:hAnsi="Arial" w:cs="Arial"/>
          <w:sz w:val="20"/>
          <w:szCs w:val="20"/>
        </w:rPr>
        <w:t>Failure to follow safety monitoring plan.</w:t>
      </w:r>
    </w:p>
    <w:p w14:paraId="54558DD4" w14:textId="77777777" w:rsidR="00EB1DA2" w:rsidRDefault="00EB1DA2" w:rsidP="00EB1DA2">
      <w:pPr>
        <w:numPr>
          <w:ilvl w:val="0"/>
          <w:numId w:val="1"/>
        </w:numPr>
        <w:tabs>
          <w:tab w:val="clear" w:pos="720"/>
        </w:tabs>
        <w:spacing w:before="40" w:after="40" w:line="276" w:lineRule="auto"/>
        <w:ind w:left="567"/>
        <w:jc w:val="both"/>
        <w:rPr>
          <w:rFonts w:ascii="Arial" w:hAnsi="Arial" w:cs="Arial"/>
          <w:sz w:val="20"/>
          <w:szCs w:val="20"/>
        </w:rPr>
      </w:pPr>
      <w:r w:rsidRPr="00D348A0">
        <w:rPr>
          <w:rFonts w:ascii="Arial" w:hAnsi="Arial" w:cs="Arial"/>
          <w:sz w:val="20"/>
          <w:szCs w:val="20"/>
        </w:rPr>
        <w:t>Breach of participant confidentiality (by site or sponsor).</w:t>
      </w:r>
    </w:p>
    <w:p w14:paraId="712EE1F8" w14:textId="77777777" w:rsidR="00EB1DA2" w:rsidRPr="00D348A0" w:rsidRDefault="00EB1DA2" w:rsidP="00EB1DA2">
      <w:pPr>
        <w:spacing w:before="40" w:after="40" w:line="276" w:lineRule="auto"/>
        <w:jc w:val="both"/>
        <w:rPr>
          <w:rFonts w:ascii="Arial" w:hAnsi="Arial" w:cs="Arial"/>
          <w:sz w:val="20"/>
          <w:szCs w:val="20"/>
        </w:rPr>
      </w:pPr>
    </w:p>
    <w:p w14:paraId="2E9FCCC6" w14:textId="77777777" w:rsidR="00EB1DA2" w:rsidRPr="00D348A0" w:rsidRDefault="00EB1DA2" w:rsidP="00EB1DA2">
      <w:pPr>
        <w:spacing w:before="40" w:after="40" w:line="276" w:lineRule="auto"/>
        <w:jc w:val="both"/>
        <w:rPr>
          <w:rFonts w:ascii="Arial" w:hAnsi="Arial" w:cs="Arial"/>
          <w:b/>
          <w:i/>
          <w:sz w:val="20"/>
          <w:szCs w:val="20"/>
        </w:rPr>
      </w:pPr>
      <w:r w:rsidRPr="00D348A0">
        <w:rPr>
          <w:rFonts w:ascii="Arial" w:hAnsi="Arial" w:cs="Arial"/>
          <w:b/>
          <w:i/>
          <w:sz w:val="20"/>
          <w:szCs w:val="20"/>
        </w:rPr>
        <w:t xml:space="preserve">Non-compliance: </w:t>
      </w:r>
      <w:r w:rsidRPr="00D348A0">
        <w:rPr>
          <w:rFonts w:ascii="Arial" w:hAnsi="Arial" w:cs="Arial"/>
          <w:bCs/>
          <w:iCs/>
          <w:sz w:val="20"/>
          <w:szCs w:val="20"/>
        </w:rPr>
        <w:t>failure</w:t>
      </w:r>
      <w:r w:rsidRPr="00D348A0">
        <w:rPr>
          <w:rFonts w:ascii="Arial" w:hAnsi="Arial" w:cs="Arial"/>
          <w:sz w:val="20"/>
          <w:szCs w:val="20"/>
        </w:rPr>
        <w:t xml:space="preserve"> to comply with National regulations, State laws, Institutional policies, requirements or determinations of the HREC, and/or provisions of the approved research study. Non-compliance may also occur when there is a need to deviate from the approved protocol </w:t>
      </w:r>
      <w:proofErr w:type="gramStart"/>
      <w:r w:rsidRPr="00D348A0">
        <w:rPr>
          <w:rFonts w:ascii="Arial" w:hAnsi="Arial" w:cs="Arial"/>
          <w:sz w:val="20"/>
          <w:szCs w:val="20"/>
        </w:rPr>
        <w:t>in order to</w:t>
      </w:r>
      <w:proofErr w:type="gramEnd"/>
      <w:r w:rsidRPr="00D348A0">
        <w:rPr>
          <w:rFonts w:ascii="Arial" w:hAnsi="Arial" w:cs="Arial"/>
          <w:sz w:val="20"/>
          <w:szCs w:val="20"/>
        </w:rPr>
        <w:t xml:space="preserve"> protect the welfare of research participants.</w:t>
      </w:r>
    </w:p>
    <w:p w14:paraId="437F8E23" w14:textId="77777777" w:rsidR="00EB1DA2" w:rsidRPr="00D348A0" w:rsidRDefault="00EB1DA2" w:rsidP="00EB1DA2">
      <w:pPr>
        <w:spacing w:before="40" w:after="40" w:line="276" w:lineRule="auto"/>
        <w:jc w:val="both"/>
        <w:rPr>
          <w:rFonts w:ascii="Arial" w:hAnsi="Arial" w:cs="Arial"/>
          <w:sz w:val="20"/>
          <w:szCs w:val="20"/>
        </w:rPr>
      </w:pPr>
    </w:p>
    <w:p w14:paraId="0F7CB620" w14:textId="77777777" w:rsidR="00EB1DA2" w:rsidRPr="00D348A0" w:rsidRDefault="00EB1DA2" w:rsidP="00EB1DA2">
      <w:pPr>
        <w:spacing w:before="40" w:after="40" w:line="276" w:lineRule="auto"/>
        <w:jc w:val="both"/>
        <w:rPr>
          <w:rFonts w:ascii="Arial" w:hAnsi="Arial" w:cs="Arial"/>
          <w:sz w:val="20"/>
          <w:szCs w:val="20"/>
        </w:rPr>
      </w:pPr>
      <w:r w:rsidRPr="00D348A0">
        <w:rPr>
          <w:rFonts w:ascii="Arial" w:hAnsi="Arial" w:cs="Arial"/>
          <w:b/>
          <w:i/>
          <w:sz w:val="20"/>
          <w:szCs w:val="20"/>
        </w:rPr>
        <w:t xml:space="preserve">Serious non-compliance: </w:t>
      </w:r>
      <w:r w:rsidRPr="00D348A0">
        <w:rPr>
          <w:rFonts w:ascii="Arial" w:hAnsi="Arial" w:cs="Arial"/>
          <w:sz w:val="20"/>
          <w:szCs w:val="20"/>
        </w:rPr>
        <w:t xml:space="preserve">failure to comply with National regulations, State laws, Institutional policies, requirements or determinations of the HREC, and/or provisions of the approved research study, where the occurrence involves substantive potential or actual increased risk to the safety, rights and welfare of research participants. </w:t>
      </w:r>
    </w:p>
    <w:p w14:paraId="3E63A232" w14:textId="77777777" w:rsidR="00EB1DA2" w:rsidRPr="00D348A0" w:rsidRDefault="00EB1DA2" w:rsidP="00EB1DA2">
      <w:pPr>
        <w:pStyle w:val="ListParagraph"/>
        <w:spacing w:before="40" w:after="40" w:line="276" w:lineRule="auto"/>
        <w:jc w:val="both"/>
        <w:rPr>
          <w:rFonts w:ascii="Arial" w:hAnsi="Arial" w:cs="Arial"/>
          <w:szCs w:val="20"/>
        </w:rPr>
      </w:pPr>
    </w:p>
    <w:p w14:paraId="0F523754" w14:textId="77777777" w:rsidR="00EB1DA2" w:rsidRPr="00D348A0" w:rsidRDefault="00EB1DA2" w:rsidP="00EB1DA2">
      <w:pPr>
        <w:spacing w:before="40" w:after="40" w:line="276" w:lineRule="auto"/>
        <w:jc w:val="both"/>
        <w:rPr>
          <w:rFonts w:ascii="Arial" w:hAnsi="Arial" w:cs="Arial"/>
          <w:sz w:val="20"/>
          <w:szCs w:val="20"/>
        </w:rPr>
      </w:pPr>
      <w:r w:rsidRPr="00D348A0">
        <w:rPr>
          <w:rFonts w:ascii="Arial" w:hAnsi="Arial" w:cs="Arial"/>
          <w:b/>
          <w:i/>
          <w:sz w:val="20"/>
          <w:szCs w:val="20"/>
        </w:rPr>
        <w:t xml:space="preserve">Continuing non-compliance: </w:t>
      </w:r>
      <w:r w:rsidRPr="00D348A0">
        <w:rPr>
          <w:rFonts w:ascii="Arial" w:hAnsi="Arial" w:cs="Arial"/>
          <w:sz w:val="20"/>
          <w:szCs w:val="20"/>
        </w:rPr>
        <w:t>is repeated occurrences of non-compliance by the same investigator or by the Institution. Repetition may be of the same occurrence or different occurrences. This repetition may be in the same or in different protocols by a single investigator. Such repetition if unaddressed may affect the protection of human research participants. For the institution, repetition may be of the same or different policies, procedures, regulations and/or laws.</w:t>
      </w:r>
    </w:p>
    <w:p w14:paraId="602138DA" w14:textId="77777777" w:rsidR="00EB1DA2" w:rsidRPr="00D348A0" w:rsidRDefault="00EB1DA2" w:rsidP="00EB1DA2">
      <w:pPr>
        <w:spacing w:before="40" w:after="40" w:line="276" w:lineRule="auto"/>
        <w:jc w:val="both"/>
        <w:rPr>
          <w:rFonts w:ascii="Arial" w:hAnsi="Arial" w:cs="Arial"/>
          <w:sz w:val="20"/>
          <w:szCs w:val="20"/>
        </w:rPr>
      </w:pPr>
    </w:p>
    <w:p w14:paraId="758EEAE5" w14:textId="46EE21CB" w:rsidR="00EB1DA2" w:rsidRPr="00D348A0" w:rsidRDefault="00EB1DA2" w:rsidP="00EB1DA2">
      <w:pPr>
        <w:tabs>
          <w:tab w:val="left" w:pos="-708"/>
          <w:tab w:val="left" w:pos="714"/>
          <w:tab w:val="left" w:pos="2142"/>
          <w:tab w:val="left" w:pos="4284"/>
          <w:tab w:val="left" w:pos="5166"/>
          <w:tab w:val="left" w:pos="5922"/>
          <w:tab w:val="left" w:pos="6804"/>
        </w:tabs>
        <w:suppressAutoHyphens/>
        <w:spacing w:before="40" w:after="40" w:line="276" w:lineRule="auto"/>
        <w:jc w:val="both"/>
        <w:rPr>
          <w:rFonts w:ascii="Arial" w:hAnsi="Arial" w:cs="Arial"/>
          <w:sz w:val="20"/>
          <w:szCs w:val="20"/>
        </w:rPr>
      </w:pPr>
      <w:r w:rsidRPr="00D348A0">
        <w:rPr>
          <w:rFonts w:ascii="Arial" w:hAnsi="Arial" w:cs="Arial"/>
          <w:b/>
          <w:i/>
          <w:sz w:val="20"/>
          <w:szCs w:val="20"/>
        </w:rPr>
        <w:t xml:space="preserve">Protocol </w:t>
      </w:r>
      <w:proofErr w:type="gramStart"/>
      <w:r w:rsidRPr="00D348A0">
        <w:rPr>
          <w:rFonts w:ascii="Arial" w:hAnsi="Arial" w:cs="Arial"/>
          <w:b/>
          <w:i/>
          <w:sz w:val="20"/>
          <w:szCs w:val="20"/>
        </w:rPr>
        <w:t>deviation:</w:t>
      </w:r>
      <w:proofErr w:type="gramEnd"/>
      <w:r w:rsidRPr="00D348A0">
        <w:rPr>
          <w:rFonts w:ascii="Arial" w:hAnsi="Arial" w:cs="Arial"/>
          <w:b/>
          <w:i/>
          <w:sz w:val="20"/>
          <w:szCs w:val="20"/>
        </w:rPr>
        <w:t xml:space="preserve"> </w:t>
      </w:r>
      <w:r w:rsidRPr="00D348A0">
        <w:rPr>
          <w:rFonts w:ascii="Arial" w:hAnsi="Arial" w:cs="Arial"/>
          <w:sz w:val="20"/>
          <w:szCs w:val="20"/>
        </w:rPr>
        <w:t xml:space="preserve">is a less serious form of non-compliance, usually arising in dealing with unforeseen circumstances and can be agreed between the sponsor and the investigator either in advance or after the event.  Protocol deviations may be considered slightly differently to protocol violations in that they generally do not have a major impact on participant welfare or data integrity. Examples of a protocol deviation may include the scheduling of a required procedure outside the time frame specified in the protocol or the use of a prohibited concomitant medication by a participant. Deviations are not required to be reported to Bellberry.  </w:t>
      </w:r>
    </w:p>
    <w:p w14:paraId="63C943C9" w14:textId="77777777" w:rsidR="00EB1DA2" w:rsidRPr="00D348A0" w:rsidRDefault="00EB1DA2" w:rsidP="00EB1DA2">
      <w:pPr>
        <w:pStyle w:val="NormalWeb"/>
        <w:shd w:val="clear" w:color="auto" w:fill="FFFFFF"/>
        <w:spacing w:before="40" w:beforeAutospacing="0" w:after="40" w:afterAutospacing="0" w:line="276" w:lineRule="auto"/>
        <w:jc w:val="both"/>
        <w:rPr>
          <w:rFonts w:ascii="Arial" w:hAnsi="Arial" w:cs="Arial"/>
          <w:sz w:val="20"/>
          <w:szCs w:val="20"/>
          <w:shd w:val="clear" w:color="auto" w:fill="FFFFFF"/>
        </w:rPr>
      </w:pPr>
      <w:r w:rsidRPr="00D348A0">
        <w:rPr>
          <w:rFonts w:ascii="Arial" w:hAnsi="Arial" w:cs="Arial"/>
          <w:b/>
          <w:bCs/>
          <w:i/>
          <w:iCs/>
          <w:sz w:val="20"/>
          <w:szCs w:val="20"/>
        </w:rPr>
        <w:lastRenderedPageBreak/>
        <w:t>Protocol violation:</w:t>
      </w:r>
      <w:r w:rsidRPr="00D348A0">
        <w:rPr>
          <w:rFonts w:ascii="Arial" w:hAnsi="Arial" w:cs="Arial"/>
          <w:sz w:val="20"/>
          <w:szCs w:val="20"/>
        </w:rPr>
        <w:t xml:space="preserve"> </w:t>
      </w:r>
      <w:r w:rsidRPr="00D348A0">
        <w:rPr>
          <w:rFonts w:ascii="Arial" w:hAnsi="Arial" w:cs="Arial"/>
          <w:color w:val="000000"/>
          <w:sz w:val="20"/>
          <w:szCs w:val="20"/>
        </w:rPr>
        <w:t xml:space="preserve">a divergence from the protocol that materially </w:t>
      </w:r>
      <w:r>
        <w:rPr>
          <w:rFonts w:ascii="Arial" w:hAnsi="Arial" w:cs="Arial"/>
          <w:color w:val="000000"/>
          <w:sz w:val="20"/>
          <w:szCs w:val="20"/>
        </w:rPr>
        <w:t>(</w:t>
      </w:r>
      <w:r w:rsidRPr="00D348A0">
        <w:rPr>
          <w:rFonts w:ascii="Arial" w:hAnsi="Arial" w:cs="Arial"/>
          <w:color w:val="000000"/>
          <w:sz w:val="20"/>
          <w:szCs w:val="20"/>
        </w:rPr>
        <w:t xml:space="preserve">a) reduces the quality or completeness of the data, </w:t>
      </w:r>
      <w:r>
        <w:rPr>
          <w:rFonts w:ascii="Arial" w:hAnsi="Arial" w:cs="Arial"/>
          <w:color w:val="000000"/>
          <w:sz w:val="20"/>
          <w:szCs w:val="20"/>
        </w:rPr>
        <w:t>(</w:t>
      </w:r>
      <w:r w:rsidRPr="00D348A0">
        <w:rPr>
          <w:rFonts w:ascii="Arial" w:hAnsi="Arial" w:cs="Arial"/>
          <w:color w:val="000000"/>
          <w:sz w:val="20"/>
          <w:szCs w:val="20"/>
        </w:rPr>
        <w:t xml:space="preserve">b) makes the Participant Information and Consent Form inaccurate, or </w:t>
      </w:r>
      <w:r>
        <w:rPr>
          <w:rFonts w:ascii="Arial" w:hAnsi="Arial" w:cs="Arial"/>
          <w:color w:val="000000"/>
          <w:sz w:val="20"/>
          <w:szCs w:val="20"/>
        </w:rPr>
        <w:t>(</w:t>
      </w:r>
      <w:r w:rsidRPr="00D348A0">
        <w:rPr>
          <w:rFonts w:ascii="Arial" w:hAnsi="Arial" w:cs="Arial"/>
          <w:color w:val="000000"/>
          <w:sz w:val="20"/>
          <w:szCs w:val="20"/>
        </w:rPr>
        <w:t>c) impacts</w:t>
      </w:r>
      <w:r>
        <w:rPr>
          <w:rFonts w:ascii="Arial" w:hAnsi="Arial" w:cs="Arial"/>
          <w:color w:val="000000"/>
          <w:sz w:val="20"/>
          <w:szCs w:val="20"/>
        </w:rPr>
        <w:t xml:space="preserve"> on</w:t>
      </w:r>
      <w:r w:rsidRPr="00D348A0">
        <w:rPr>
          <w:rFonts w:ascii="Arial" w:hAnsi="Arial" w:cs="Arial"/>
          <w:color w:val="000000"/>
          <w:sz w:val="20"/>
          <w:szCs w:val="20"/>
        </w:rPr>
        <w:t xml:space="preserve"> a participant’s safety, rights, or welfare. </w:t>
      </w:r>
      <w:r w:rsidRPr="00D348A0">
        <w:rPr>
          <w:rFonts w:ascii="Arial" w:hAnsi="Arial" w:cs="Arial"/>
          <w:sz w:val="20"/>
          <w:szCs w:val="20"/>
          <w:shd w:val="clear" w:color="auto" w:fill="FFFFFF"/>
        </w:rPr>
        <w:t xml:space="preserve">The Bellberry HREC does not require notification of a protocol violation. </w:t>
      </w:r>
    </w:p>
    <w:p w14:paraId="3B3A6A29" w14:textId="77777777" w:rsidR="00EB1DA2" w:rsidRPr="00D348A0" w:rsidRDefault="00EB1DA2" w:rsidP="00EB1DA2">
      <w:pPr>
        <w:tabs>
          <w:tab w:val="left" w:pos="-708"/>
          <w:tab w:val="left" w:pos="714"/>
          <w:tab w:val="left" w:pos="2142"/>
          <w:tab w:val="left" w:pos="4284"/>
          <w:tab w:val="left" w:pos="5166"/>
          <w:tab w:val="left" w:pos="5922"/>
          <w:tab w:val="left" w:pos="6804"/>
        </w:tabs>
        <w:suppressAutoHyphens/>
        <w:spacing w:before="40" w:after="40" w:line="276" w:lineRule="auto"/>
        <w:jc w:val="both"/>
        <w:rPr>
          <w:rFonts w:ascii="Arial" w:hAnsi="Arial" w:cs="Arial"/>
          <w:b/>
          <w:i/>
          <w:sz w:val="20"/>
          <w:szCs w:val="20"/>
        </w:rPr>
      </w:pPr>
    </w:p>
    <w:p w14:paraId="4B076F33" w14:textId="77777777" w:rsidR="00EB1DA2" w:rsidRPr="00D348A0" w:rsidRDefault="00EB1DA2" w:rsidP="00EB1DA2">
      <w:pPr>
        <w:spacing w:before="40" w:after="40" w:line="276" w:lineRule="auto"/>
        <w:jc w:val="both"/>
        <w:rPr>
          <w:rFonts w:ascii="Arial" w:hAnsi="Arial" w:cs="Arial"/>
          <w:b/>
          <w:i/>
          <w:sz w:val="20"/>
          <w:szCs w:val="20"/>
        </w:rPr>
      </w:pPr>
      <w:r w:rsidRPr="00D348A0">
        <w:rPr>
          <w:rFonts w:ascii="Arial" w:hAnsi="Arial" w:cs="Arial"/>
          <w:b/>
          <w:i/>
          <w:sz w:val="20"/>
          <w:szCs w:val="20"/>
        </w:rPr>
        <w:t xml:space="preserve">Third Parties: </w:t>
      </w:r>
      <w:r w:rsidRPr="00D348A0">
        <w:rPr>
          <w:rFonts w:ascii="Arial" w:hAnsi="Arial" w:cs="Arial"/>
          <w:sz w:val="20"/>
          <w:szCs w:val="20"/>
        </w:rPr>
        <w:t>some serious breaches may be identified by third parties (e.g. trial sites) who wish to report directly to the reviewing HREC. This would usually be appropriate if:</w:t>
      </w:r>
    </w:p>
    <w:p w14:paraId="7741DC3A" w14:textId="77777777" w:rsidR="00EB1DA2" w:rsidRPr="00D348A0" w:rsidRDefault="00EB1DA2" w:rsidP="00EB1DA2">
      <w:pPr>
        <w:pStyle w:val="ListParagraph"/>
        <w:numPr>
          <w:ilvl w:val="0"/>
          <w:numId w:val="2"/>
        </w:numPr>
        <w:spacing w:before="40" w:after="40" w:line="276" w:lineRule="auto"/>
        <w:ind w:left="426" w:hanging="284"/>
        <w:jc w:val="both"/>
        <w:rPr>
          <w:rFonts w:ascii="Arial" w:hAnsi="Arial" w:cs="Arial"/>
          <w:szCs w:val="20"/>
        </w:rPr>
      </w:pPr>
      <w:r w:rsidRPr="00D348A0">
        <w:rPr>
          <w:rFonts w:ascii="Arial" w:hAnsi="Arial" w:cs="Arial"/>
          <w:szCs w:val="20"/>
        </w:rPr>
        <w:t>The investigator/institution has good evidence that a serious breach has occurred, but the sponsor disagrees with their assessment and is unwilling to notify the HREC.</w:t>
      </w:r>
    </w:p>
    <w:p w14:paraId="34AAA212" w14:textId="77777777" w:rsidR="00EB1DA2" w:rsidRPr="00D348A0" w:rsidRDefault="00EB1DA2" w:rsidP="00EB1DA2">
      <w:pPr>
        <w:pStyle w:val="ListParagraph"/>
        <w:numPr>
          <w:ilvl w:val="0"/>
          <w:numId w:val="2"/>
        </w:numPr>
        <w:spacing w:before="40" w:after="40" w:line="276" w:lineRule="auto"/>
        <w:ind w:left="426" w:hanging="284"/>
        <w:jc w:val="both"/>
        <w:rPr>
          <w:rFonts w:ascii="Arial" w:hAnsi="Arial" w:cs="Arial"/>
          <w:szCs w:val="20"/>
        </w:rPr>
      </w:pPr>
      <w:r w:rsidRPr="00D348A0">
        <w:rPr>
          <w:rFonts w:ascii="Arial" w:hAnsi="Arial" w:cs="Arial"/>
          <w:szCs w:val="20"/>
        </w:rPr>
        <w:t>The investigator/institution has become aware that the sponsor may have committed a serious breach.</w:t>
      </w:r>
    </w:p>
    <w:p w14:paraId="11184FE7" w14:textId="77777777" w:rsidR="00EB1DA2" w:rsidRPr="00D348A0" w:rsidRDefault="00EB1DA2" w:rsidP="00EB1DA2">
      <w:pPr>
        <w:spacing w:before="40" w:after="40" w:line="276" w:lineRule="auto"/>
        <w:jc w:val="both"/>
        <w:rPr>
          <w:rFonts w:ascii="Arial" w:hAnsi="Arial" w:cs="Arial"/>
          <w:b/>
          <w:sz w:val="20"/>
          <w:szCs w:val="20"/>
        </w:rPr>
      </w:pPr>
    </w:p>
    <w:p w14:paraId="6CBE0FB5" w14:textId="77777777" w:rsidR="00EB1DA2" w:rsidRPr="00D348A0" w:rsidRDefault="00EB1DA2" w:rsidP="00EB1DA2">
      <w:pPr>
        <w:spacing w:before="40" w:after="40" w:line="276" w:lineRule="auto"/>
        <w:jc w:val="both"/>
        <w:rPr>
          <w:rFonts w:ascii="Arial" w:hAnsi="Arial" w:cs="Arial"/>
          <w:b/>
        </w:rPr>
      </w:pPr>
      <w:r w:rsidRPr="00D348A0">
        <w:rPr>
          <w:rFonts w:ascii="Arial" w:hAnsi="Arial" w:cs="Arial"/>
          <w:b/>
        </w:rPr>
        <w:t>Guidance</w:t>
      </w:r>
    </w:p>
    <w:p w14:paraId="526D74D6" w14:textId="77777777" w:rsidR="00EB1DA2" w:rsidRPr="00D348A0" w:rsidRDefault="00EB1DA2" w:rsidP="00EB1DA2">
      <w:pPr>
        <w:tabs>
          <w:tab w:val="left" w:pos="-708"/>
          <w:tab w:val="left" w:pos="2142"/>
          <w:tab w:val="left" w:pos="4284"/>
          <w:tab w:val="left" w:pos="5166"/>
          <w:tab w:val="left" w:pos="5922"/>
          <w:tab w:val="left" w:pos="6804"/>
        </w:tabs>
        <w:suppressAutoHyphens/>
        <w:spacing w:before="40" w:after="40" w:line="276" w:lineRule="auto"/>
        <w:jc w:val="both"/>
        <w:rPr>
          <w:rFonts w:ascii="Arial" w:hAnsi="Arial" w:cs="Arial"/>
          <w:b/>
          <w:sz w:val="20"/>
          <w:szCs w:val="20"/>
        </w:rPr>
      </w:pPr>
      <w:r w:rsidRPr="00D348A0">
        <w:rPr>
          <w:rFonts w:ascii="Arial" w:hAnsi="Arial" w:cs="Arial"/>
          <w:b/>
          <w:sz w:val="20"/>
          <w:szCs w:val="20"/>
        </w:rPr>
        <w:t>Reporting timeframe</w:t>
      </w:r>
    </w:p>
    <w:p w14:paraId="4C2806BD" w14:textId="40BD2DDC" w:rsidR="00EB1DA2" w:rsidRPr="00D348A0" w:rsidRDefault="00EB1DA2" w:rsidP="00EB1DA2">
      <w:pPr>
        <w:spacing w:before="40" w:after="40" w:line="276" w:lineRule="auto"/>
        <w:jc w:val="both"/>
        <w:rPr>
          <w:rFonts w:ascii="Arial" w:hAnsi="Arial" w:cs="Arial"/>
          <w:sz w:val="20"/>
          <w:szCs w:val="20"/>
        </w:rPr>
      </w:pPr>
      <w:r w:rsidRPr="00D348A0">
        <w:rPr>
          <w:rFonts w:ascii="Arial" w:hAnsi="Arial" w:cs="Arial"/>
          <w:sz w:val="20"/>
          <w:szCs w:val="20"/>
        </w:rPr>
        <w:t xml:space="preserve">Report serious breaches to the reviewing HREC within 7 calendar days of confirming a serious breach has occurred and provide follow-up reports when required. </w:t>
      </w:r>
      <w:r w:rsidR="00FE0A08" w:rsidRPr="00F614D8">
        <w:rPr>
          <w:rFonts w:ascii="Arial" w:hAnsi="Arial" w:cs="Arial"/>
          <w:sz w:val="20"/>
          <w:szCs w:val="20"/>
        </w:rPr>
        <w:t>These should be reported utilising the 'Start Protocol Violation Report Form' in eProtocol.</w:t>
      </w:r>
    </w:p>
    <w:p w14:paraId="36976810" w14:textId="77777777" w:rsidR="00EB1DA2" w:rsidRPr="00D348A0" w:rsidRDefault="00EB1DA2" w:rsidP="00EB1DA2">
      <w:pPr>
        <w:tabs>
          <w:tab w:val="left" w:pos="-708"/>
          <w:tab w:val="left" w:pos="0"/>
          <w:tab w:val="left" w:pos="1083"/>
          <w:tab w:val="left" w:pos="2142"/>
          <w:tab w:val="left" w:pos="4284"/>
          <w:tab w:val="left" w:pos="5166"/>
          <w:tab w:val="left" w:pos="5922"/>
          <w:tab w:val="left" w:pos="6804"/>
        </w:tabs>
        <w:suppressAutoHyphens/>
        <w:spacing w:before="40" w:after="40" w:line="276" w:lineRule="auto"/>
        <w:jc w:val="both"/>
        <w:rPr>
          <w:rFonts w:ascii="Arial" w:hAnsi="Arial" w:cs="Arial"/>
          <w:sz w:val="20"/>
          <w:szCs w:val="20"/>
        </w:rPr>
      </w:pPr>
    </w:p>
    <w:p w14:paraId="697FFAC3" w14:textId="77777777" w:rsidR="00EB1DA2" w:rsidRPr="00D348A0" w:rsidRDefault="00EB1DA2" w:rsidP="00EB1DA2">
      <w:pPr>
        <w:spacing w:before="40" w:after="40" w:line="276" w:lineRule="auto"/>
        <w:jc w:val="both"/>
        <w:rPr>
          <w:rFonts w:ascii="Arial" w:hAnsi="Arial" w:cs="Arial"/>
          <w:sz w:val="20"/>
          <w:szCs w:val="20"/>
        </w:rPr>
      </w:pPr>
      <w:r w:rsidRPr="00D348A0">
        <w:rPr>
          <w:rFonts w:ascii="Arial" w:hAnsi="Arial" w:cs="Arial"/>
          <w:sz w:val="20"/>
          <w:szCs w:val="20"/>
        </w:rPr>
        <w:t xml:space="preserve">All serious breaches must be submitted to the HREC after completing the NHMRC sponsor or third-party serious breach report templates (see references) and other documentation, for example the CAPA. </w:t>
      </w:r>
    </w:p>
    <w:p w14:paraId="6DC3F995" w14:textId="77777777" w:rsidR="00EB1DA2" w:rsidRPr="00D348A0" w:rsidRDefault="00EB1DA2" w:rsidP="00EB1DA2">
      <w:pPr>
        <w:tabs>
          <w:tab w:val="left" w:pos="-708"/>
          <w:tab w:val="left" w:pos="0"/>
          <w:tab w:val="left" w:pos="1083"/>
          <w:tab w:val="left" w:pos="2142"/>
          <w:tab w:val="left" w:pos="4284"/>
          <w:tab w:val="left" w:pos="5166"/>
          <w:tab w:val="left" w:pos="5922"/>
          <w:tab w:val="left" w:pos="6804"/>
        </w:tabs>
        <w:suppressAutoHyphens/>
        <w:spacing w:before="40" w:after="40" w:line="276" w:lineRule="auto"/>
        <w:jc w:val="both"/>
        <w:rPr>
          <w:rFonts w:ascii="Arial" w:hAnsi="Arial" w:cs="Arial"/>
          <w:sz w:val="20"/>
          <w:szCs w:val="20"/>
        </w:rPr>
      </w:pPr>
    </w:p>
    <w:p w14:paraId="124AB4CE" w14:textId="77777777" w:rsidR="00EB1DA2" w:rsidRPr="00D348A0" w:rsidRDefault="00EB1DA2" w:rsidP="00EB1DA2">
      <w:pPr>
        <w:spacing w:before="40" w:after="40" w:line="276" w:lineRule="auto"/>
        <w:jc w:val="both"/>
        <w:rPr>
          <w:rFonts w:ascii="Arial" w:hAnsi="Arial" w:cs="Arial"/>
          <w:b/>
          <w:sz w:val="20"/>
          <w:szCs w:val="20"/>
        </w:rPr>
      </w:pPr>
      <w:r w:rsidRPr="00D348A0">
        <w:rPr>
          <w:rFonts w:ascii="Arial" w:hAnsi="Arial" w:cs="Arial"/>
          <w:b/>
          <w:sz w:val="20"/>
          <w:szCs w:val="20"/>
        </w:rPr>
        <w:t>Reporting of serious breaches by the sponsor</w:t>
      </w:r>
    </w:p>
    <w:p w14:paraId="5706F70F" w14:textId="77777777" w:rsidR="00EB1DA2" w:rsidRPr="00D348A0" w:rsidRDefault="00EB1DA2" w:rsidP="00EB1DA2">
      <w:pPr>
        <w:spacing w:before="40" w:after="40" w:line="276" w:lineRule="auto"/>
        <w:jc w:val="both"/>
        <w:rPr>
          <w:rFonts w:ascii="Arial" w:hAnsi="Arial" w:cs="Arial"/>
          <w:sz w:val="20"/>
          <w:szCs w:val="20"/>
        </w:rPr>
      </w:pPr>
      <w:r w:rsidRPr="00D348A0">
        <w:rPr>
          <w:rFonts w:ascii="Arial" w:hAnsi="Arial" w:cs="Arial"/>
          <w:sz w:val="20"/>
          <w:szCs w:val="20"/>
        </w:rPr>
        <w:t>Sponsors have primary responsibility for determining whether any suspected breach meets the definition of a serious breach. In practice, this assessment is often conducted or overseen by the group tasked with monitoring the general quality of the trial and its adherence to the protocol. Sponsors should also:</w:t>
      </w:r>
    </w:p>
    <w:p w14:paraId="4140EB71" w14:textId="77777777" w:rsidR="00EB1DA2" w:rsidRPr="00D348A0" w:rsidRDefault="00EB1DA2" w:rsidP="00EB1DA2">
      <w:pPr>
        <w:pStyle w:val="ListParagraph"/>
        <w:numPr>
          <w:ilvl w:val="0"/>
          <w:numId w:val="3"/>
        </w:numPr>
        <w:spacing w:before="40" w:after="40" w:line="276" w:lineRule="auto"/>
        <w:ind w:left="426" w:hanging="284"/>
        <w:jc w:val="both"/>
        <w:rPr>
          <w:rFonts w:ascii="Arial" w:hAnsi="Arial" w:cs="Arial"/>
          <w:szCs w:val="20"/>
        </w:rPr>
      </w:pPr>
      <w:r w:rsidRPr="00D348A0">
        <w:rPr>
          <w:rFonts w:ascii="Arial" w:hAnsi="Arial" w:cs="Arial"/>
          <w:szCs w:val="20"/>
        </w:rPr>
        <w:t>Develop documented processes for managing serious breaches including:</w:t>
      </w:r>
    </w:p>
    <w:p w14:paraId="72952497" w14:textId="77777777" w:rsidR="00EB1DA2" w:rsidRPr="00D348A0" w:rsidRDefault="00EB1DA2" w:rsidP="00EB1DA2">
      <w:pPr>
        <w:pStyle w:val="ListParagraph"/>
        <w:numPr>
          <w:ilvl w:val="0"/>
          <w:numId w:val="4"/>
        </w:numPr>
        <w:spacing w:before="40" w:after="40" w:line="276" w:lineRule="auto"/>
        <w:ind w:left="851" w:hanging="283"/>
        <w:jc w:val="both"/>
        <w:rPr>
          <w:rFonts w:ascii="Arial" w:hAnsi="Arial" w:cs="Arial"/>
          <w:szCs w:val="20"/>
        </w:rPr>
      </w:pPr>
      <w:r w:rsidRPr="00D348A0">
        <w:rPr>
          <w:rFonts w:ascii="Arial" w:hAnsi="Arial" w:cs="Arial"/>
          <w:szCs w:val="20"/>
        </w:rPr>
        <w:t>The assessment of whether the serious breach is isolated or systemic</w:t>
      </w:r>
    </w:p>
    <w:p w14:paraId="5EA9AD30" w14:textId="77777777" w:rsidR="00EB1DA2" w:rsidRPr="00D348A0" w:rsidRDefault="00EB1DA2" w:rsidP="00EB1DA2">
      <w:pPr>
        <w:pStyle w:val="ListParagraph"/>
        <w:numPr>
          <w:ilvl w:val="0"/>
          <w:numId w:val="4"/>
        </w:numPr>
        <w:spacing w:before="40" w:after="40" w:line="276" w:lineRule="auto"/>
        <w:ind w:left="851" w:hanging="283"/>
        <w:jc w:val="both"/>
        <w:rPr>
          <w:rFonts w:ascii="Arial" w:hAnsi="Arial" w:cs="Arial"/>
          <w:szCs w:val="20"/>
        </w:rPr>
      </w:pPr>
      <w:r w:rsidRPr="00D348A0">
        <w:rPr>
          <w:rFonts w:ascii="Arial" w:hAnsi="Arial" w:cs="Arial"/>
          <w:szCs w:val="20"/>
        </w:rPr>
        <w:t>The assessment of the impact of the serious breach on participants and on the reliability and integrity of trial data</w:t>
      </w:r>
    </w:p>
    <w:p w14:paraId="2E65FFDA" w14:textId="77777777" w:rsidR="00EB1DA2" w:rsidRPr="00D348A0" w:rsidRDefault="00EB1DA2" w:rsidP="00EB1DA2">
      <w:pPr>
        <w:pStyle w:val="ListParagraph"/>
        <w:numPr>
          <w:ilvl w:val="0"/>
          <w:numId w:val="4"/>
        </w:numPr>
        <w:spacing w:before="40" w:after="40" w:line="276" w:lineRule="auto"/>
        <w:ind w:left="851" w:hanging="283"/>
        <w:jc w:val="both"/>
        <w:rPr>
          <w:rFonts w:ascii="Arial" w:hAnsi="Arial" w:cs="Arial"/>
          <w:szCs w:val="20"/>
        </w:rPr>
      </w:pPr>
      <w:r w:rsidRPr="00D348A0">
        <w:rPr>
          <w:rFonts w:ascii="Arial" w:hAnsi="Arial" w:cs="Arial"/>
          <w:szCs w:val="20"/>
        </w:rPr>
        <w:t>The investigation procedure</w:t>
      </w:r>
    </w:p>
    <w:p w14:paraId="1A1519E0" w14:textId="77777777" w:rsidR="00EB1DA2" w:rsidRPr="00D348A0" w:rsidRDefault="00EB1DA2" w:rsidP="00EB1DA2">
      <w:pPr>
        <w:pStyle w:val="ListParagraph"/>
        <w:numPr>
          <w:ilvl w:val="0"/>
          <w:numId w:val="4"/>
        </w:numPr>
        <w:spacing w:before="40" w:after="40" w:line="276" w:lineRule="auto"/>
        <w:ind w:left="851" w:hanging="283"/>
        <w:jc w:val="both"/>
        <w:rPr>
          <w:rFonts w:ascii="Arial" w:hAnsi="Arial" w:cs="Arial"/>
          <w:szCs w:val="20"/>
        </w:rPr>
      </w:pPr>
      <w:r w:rsidRPr="00D348A0">
        <w:rPr>
          <w:rFonts w:ascii="Arial" w:hAnsi="Arial" w:cs="Arial"/>
          <w:szCs w:val="20"/>
        </w:rPr>
        <w:t>The reporting procedure</w:t>
      </w:r>
    </w:p>
    <w:p w14:paraId="368E6B63" w14:textId="77777777" w:rsidR="00EB1DA2" w:rsidRPr="00D348A0" w:rsidRDefault="00EB1DA2" w:rsidP="00EB1DA2">
      <w:pPr>
        <w:pStyle w:val="ListParagraph"/>
        <w:numPr>
          <w:ilvl w:val="0"/>
          <w:numId w:val="4"/>
        </w:numPr>
        <w:spacing w:before="40" w:after="40" w:line="276" w:lineRule="auto"/>
        <w:ind w:left="851" w:hanging="283"/>
        <w:jc w:val="both"/>
        <w:rPr>
          <w:rFonts w:ascii="Arial" w:hAnsi="Arial" w:cs="Arial"/>
          <w:szCs w:val="20"/>
        </w:rPr>
      </w:pPr>
      <w:r w:rsidRPr="00D348A0">
        <w:rPr>
          <w:rFonts w:ascii="Arial" w:hAnsi="Arial" w:cs="Arial"/>
          <w:szCs w:val="20"/>
        </w:rPr>
        <w:t>The management of corrective and preventative action (CAPA)</w:t>
      </w:r>
    </w:p>
    <w:p w14:paraId="10BA739C" w14:textId="77777777" w:rsidR="00EB1DA2" w:rsidRPr="00D348A0" w:rsidRDefault="00EB1DA2" w:rsidP="00EB1DA2">
      <w:pPr>
        <w:pStyle w:val="ListParagraph"/>
        <w:numPr>
          <w:ilvl w:val="0"/>
          <w:numId w:val="4"/>
        </w:numPr>
        <w:spacing w:before="40" w:after="40" w:line="276" w:lineRule="auto"/>
        <w:ind w:left="851" w:hanging="283"/>
        <w:jc w:val="both"/>
        <w:rPr>
          <w:rFonts w:ascii="Arial" w:hAnsi="Arial" w:cs="Arial"/>
          <w:szCs w:val="20"/>
        </w:rPr>
      </w:pPr>
      <w:r w:rsidRPr="00D348A0">
        <w:rPr>
          <w:rFonts w:ascii="Arial" w:hAnsi="Arial" w:cs="Arial"/>
          <w:szCs w:val="20"/>
        </w:rPr>
        <w:t>The circulation and retention of documents relating to serious breaches.</w:t>
      </w:r>
    </w:p>
    <w:p w14:paraId="5BF1D574" w14:textId="77777777" w:rsidR="00EB1DA2" w:rsidRPr="00D348A0" w:rsidRDefault="00EB1DA2" w:rsidP="00EB1DA2">
      <w:pPr>
        <w:pStyle w:val="ListParagraph"/>
        <w:numPr>
          <w:ilvl w:val="0"/>
          <w:numId w:val="5"/>
        </w:numPr>
        <w:spacing w:before="40" w:after="40" w:line="276" w:lineRule="auto"/>
        <w:ind w:left="426" w:hanging="284"/>
        <w:jc w:val="both"/>
        <w:rPr>
          <w:rFonts w:ascii="Arial" w:hAnsi="Arial" w:cs="Arial"/>
          <w:szCs w:val="20"/>
        </w:rPr>
      </w:pPr>
      <w:r w:rsidRPr="00D348A0">
        <w:rPr>
          <w:rFonts w:ascii="Arial" w:hAnsi="Arial" w:cs="Arial"/>
          <w:szCs w:val="20"/>
        </w:rPr>
        <w:t>For serious breaches occurring at a trial site, notify the site’s principal investigator within seven calendar days of confirming a serious breach has occurred.</w:t>
      </w:r>
    </w:p>
    <w:p w14:paraId="67969C4E" w14:textId="77777777" w:rsidR="00EB1DA2" w:rsidRPr="00D348A0" w:rsidRDefault="00EB1DA2" w:rsidP="00EB1DA2">
      <w:pPr>
        <w:pStyle w:val="ListParagraph"/>
        <w:numPr>
          <w:ilvl w:val="0"/>
          <w:numId w:val="5"/>
        </w:numPr>
        <w:spacing w:before="40" w:after="40" w:line="276" w:lineRule="auto"/>
        <w:ind w:left="426" w:hanging="284"/>
        <w:jc w:val="both"/>
        <w:rPr>
          <w:rFonts w:ascii="Arial" w:hAnsi="Arial" w:cs="Arial"/>
          <w:szCs w:val="20"/>
        </w:rPr>
      </w:pPr>
      <w:r w:rsidRPr="00D348A0">
        <w:rPr>
          <w:rFonts w:ascii="Arial" w:hAnsi="Arial" w:cs="Arial"/>
          <w:szCs w:val="20"/>
        </w:rPr>
        <w:t>Perform a root cause analysis and ensure that appropriate corrective and preventative actions are taken.</w:t>
      </w:r>
    </w:p>
    <w:p w14:paraId="17F73C06" w14:textId="77777777" w:rsidR="00EB1DA2" w:rsidRPr="00D348A0" w:rsidRDefault="00EB1DA2" w:rsidP="00EB1DA2">
      <w:pPr>
        <w:pStyle w:val="ListParagraph"/>
        <w:numPr>
          <w:ilvl w:val="0"/>
          <w:numId w:val="5"/>
        </w:numPr>
        <w:spacing w:before="40" w:after="40" w:line="276" w:lineRule="auto"/>
        <w:ind w:left="426" w:hanging="284"/>
        <w:jc w:val="both"/>
        <w:rPr>
          <w:rFonts w:ascii="Arial" w:hAnsi="Arial" w:cs="Arial"/>
          <w:szCs w:val="20"/>
        </w:rPr>
      </w:pPr>
      <w:r w:rsidRPr="00D348A0">
        <w:rPr>
          <w:rFonts w:ascii="Arial" w:hAnsi="Arial" w:cs="Arial"/>
          <w:szCs w:val="20"/>
        </w:rPr>
        <w:t>Where the sponsor determines a third-party report, provided to it by the HREC, meets the definition of a serious breach, report the serious breach to the reviewing HREC within seven calendar days of this decision.</w:t>
      </w:r>
    </w:p>
    <w:p w14:paraId="02C663F0" w14:textId="77777777" w:rsidR="00EB1DA2" w:rsidRPr="00D348A0" w:rsidRDefault="00EB1DA2" w:rsidP="00EB1DA2">
      <w:pPr>
        <w:pStyle w:val="ListParagraph"/>
        <w:numPr>
          <w:ilvl w:val="0"/>
          <w:numId w:val="5"/>
        </w:numPr>
        <w:spacing w:before="40" w:after="40" w:line="276" w:lineRule="auto"/>
        <w:ind w:left="426" w:hanging="284"/>
        <w:jc w:val="both"/>
        <w:rPr>
          <w:rFonts w:ascii="Arial" w:hAnsi="Arial" w:cs="Arial"/>
          <w:szCs w:val="20"/>
        </w:rPr>
      </w:pPr>
      <w:r w:rsidRPr="00D348A0">
        <w:rPr>
          <w:rFonts w:ascii="Arial" w:hAnsi="Arial" w:cs="Arial"/>
          <w:szCs w:val="20"/>
        </w:rPr>
        <w:t>Where the sponsor determines a third-party report, provided to it by the HREC, does not meet the definition of a serious breach, notify the reviewing HREC by letter or e-mail, including a justification for this decision, within 7 calendar days of confirming a serious breach has not occurred.</w:t>
      </w:r>
    </w:p>
    <w:p w14:paraId="0FF492AE" w14:textId="77777777" w:rsidR="00EB1DA2" w:rsidRPr="00D348A0" w:rsidRDefault="00EB1DA2" w:rsidP="00EB1DA2">
      <w:pPr>
        <w:pStyle w:val="ListParagraph"/>
        <w:numPr>
          <w:ilvl w:val="0"/>
          <w:numId w:val="5"/>
        </w:numPr>
        <w:spacing w:before="40" w:after="40" w:line="276" w:lineRule="auto"/>
        <w:ind w:left="426" w:hanging="284"/>
        <w:jc w:val="both"/>
        <w:rPr>
          <w:rFonts w:ascii="Arial" w:hAnsi="Arial" w:cs="Arial"/>
          <w:szCs w:val="20"/>
        </w:rPr>
      </w:pPr>
      <w:r w:rsidRPr="00D348A0">
        <w:rPr>
          <w:rFonts w:ascii="Arial" w:hAnsi="Arial" w:cs="Arial"/>
          <w:szCs w:val="20"/>
        </w:rPr>
        <w:t>Keep written records of all suspected and confirmed serious breaches, including the justification for determining that a suspected breach does not meet the definition of a serious breach.</w:t>
      </w:r>
    </w:p>
    <w:p w14:paraId="34ABE24C" w14:textId="77777777" w:rsidR="00EB1DA2" w:rsidRPr="00D348A0" w:rsidRDefault="00EB1DA2" w:rsidP="00EB1DA2">
      <w:pPr>
        <w:pStyle w:val="ListParagraph"/>
        <w:numPr>
          <w:ilvl w:val="0"/>
          <w:numId w:val="5"/>
        </w:numPr>
        <w:spacing w:before="40" w:after="40" w:line="276" w:lineRule="auto"/>
        <w:ind w:left="426" w:hanging="284"/>
        <w:jc w:val="both"/>
        <w:rPr>
          <w:rFonts w:ascii="Arial" w:hAnsi="Arial" w:cs="Arial"/>
          <w:szCs w:val="20"/>
        </w:rPr>
      </w:pPr>
      <w:r w:rsidRPr="00D348A0">
        <w:rPr>
          <w:rFonts w:ascii="Arial" w:hAnsi="Arial" w:cs="Arial"/>
          <w:szCs w:val="20"/>
        </w:rPr>
        <w:t>Notify the TGA and the reviewing HREC if the serious breach leads to the closure of the site.</w:t>
      </w:r>
    </w:p>
    <w:p w14:paraId="41155A39" w14:textId="77777777" w:rsidR="00EB1DA2" w:rsidRPr="00D348A0" w:rsidRDefault="00EB1DA2" w:rsidP="00EB1DA2">
      <w:pPr>
        <w:pStyle w:val="ListParagraph"/>
        <w:numPr>
          <w:ilvl w:val="0"/>
          <w:numId w:val="5"/>
        </w:numPr>
        <w:spacing w:before="40" w:after="40" w:line="276" w:lineRule="auto"/>
        <w:ind w:left="426" w:hanging="284"/>
        <w:jc w:val="both"/>
        <w:rPr>
          <w:rFonts w:ascii="Arial" w:hAnsi="Arial" w:cs="Arial"/>
          <w:szCs w:val="20"/>
        </w:rPr>
      </w:pPr>
      <w:r w:rsidRPr="00D348A0">
        <w:rPr>
          <w:rFonts w:ascii="Arial" w:hAnsi="Arial" w:cs="Arial"/>
          <w:szCs w:val="20"/>
        </w:rPr>
        <w:t>Report to the TGA any serious breach that involves a defective product that may have wider implications for the supply chain for that marketed product:</w:t>
      </w:r>
    </w:p>
    <w:p w14:paraId="6B3303A9" w14:textId="77777777" w:rsidR="00EB1DA2" w:rsidRPr="00D348A0" w:rsidRDefault="00EB1DA2" w:rsidP="00EB1DA2">
      <w:pPr>
        <w:pStyle w:val="ListParagraph"/>
        <w:numPr>
          <w:ilvl w:val="0"/>
          <w:numId w:val="6"/>
        </w:numPr>
        <w:spacing w:before="40" w:after="40" w:line="276" w:lineRule="auto"/>
        <w:ind w:left="851" w:hanging="284"/>
        <w:jc w:val="both"/>
        <w:rPr>
          <w:rFonts w:ascii="Arial" w:hAnsi="Arial" w:cs="Arial"/>
          <w:szCs w:val="20"/>
        </w:rPr>
      </w:pPr>
      <w:r w:rsidRPr="00D348A0">
        <w:rPr>
          <w:rFonts w:ascii="Arial" w:hAnsi="Arial" w:cs="Arial"/>
          <w:szCs w:val="20"/>
        </w:rPr>
        <w:t>Commercial sponsors report to the TGA using existing product surveillance processes</w:t>
      </w:r>
    </w:p>
    <w:p w14:paraId="1F206B20" w14:textId="77777777" w:rsidR="00EB1DA2" w:rsidRPr="00D348A0" w:rsidRDefault="00EB1DA2" w:rsidP="00EB1DA2">
      <w:pPr>
        <w:pStyle w:val="ListParagraph"/>
        <w:numPr>
          <w:ilvl w:val="0"/>
          <w:numId w:val="6"/>
        </w:numPr>
        <w:spacing w:before="40" w:after="40" w:line="276" w:lineRule="auto"/>
        <w:ind w:left="851" w:hanging="284"/>
        <w:jc w:val="both"/>
        <w:rPr>
          <w:rFonts w:ascii="Arial" w:hAnsi="Arial" w:cs="Arial"/>
          <w:szCs w:val="20"/>
        </w:rPr>
      </w:pPr>
      <w:r w:rsidRPr="00D348A0">
        <w:rPr>
          <w:rFonts w:ascii="Arial" w:hAnsi="Arial" w:cs="Arial"/>
          <w:szCs w:val="20"/>
        </w:rPr>
        <w:lastRenderedPageBreak/>
        <w:t>Non-commercial sponsors (e.g. universities) may either report to the TGA directly or to the Marketing Authorisation Holder/manufacturer (who would report to the TGA).</w:t>
      </w:r>
    </w:p>
    <w:p w14:paraId="39BA6080" w14:textId="77777777" w:rsidR="00EB1DA2" w:rsidRPr="00D348A0" w:rsidRDefault="00EB1DA2" w:rsidP="00EB1DA2">
      <w:pPr>
        <w:spacing w:before="40" w:after="40" w:line="276" w:lineRule="auto"/>
        <w:jc w:val="both"/>
        <w:rPr>
          <w:rFonts w:ascii="Arial" w:hAnsi="Arial" w:cs="Arial"/>
          <w:sz w:val="20"/>
          <w:szCs w:val="20"/>
        </w:rPr>
      </w:pPr>
    </w:p>
    <w:p w14:paraId="3E14D8FB" w14:textId="77777777" w:rsidR="00EB1DA2" w:rsidRPr="00D348A0" w:rsidRDefault="00EB1DA2" w:rsidP="00EB1DA2">
      <w:pPr>
        <w:spacing w:before="40" w:after="40" w:line="276" w:lineRule="auto"/>
        <w:jc w:val="both"/>
        <w:rPr>
          <w:rFonts w:ascii="Arial" w:hAnsi="Arial" w:cs="Arial"/>
          <w:b/>
          <w:sz w:val="20"/>
          <w:szCs w:val="20"/>
        </w:rPr>
      </w:pPr>
      <w:r w:rsidRPr="00D348A0">
        <w:rPr>
          <w:rFonts w:ascii="Arial" w:hAnsi="Arial" w:cs="Arial"/>
          <w:b/>
          <w:sz w:val="20"/>
          <w:szCs w:val="20"/>
        </w:rPr>
        <w:t>Reporting of serious breaches by third parties</w:t>
      </w:r>
    </w:p>
    <w:p w14:paraId="40D4DDCA" w14:textId="77777777" w:rsidR="00EB1DA2" w:rsidRPr="00D348A0" w:rsidRDefault="00EB1DA2" w:rsidP="00EB1DA2">
      <w:pPr>
        <w:spacing w:before="40" w:after="40" w:line="276" w:lineRule="auto"/>
        <w:jc w:val="both"/>
        <w:rPr>
          <w:rFonts w:ascii="Arial" w:hAnsi="Arial" w:cs="Arial"/>
          <w:sz w:val="20"/>
          <w:szCs w:val="20"/>
        </w:rPr>
      </w:pPr>
      <w:proofErr w:type="gramStart"/>
      <w:r w:rsidRPr="00D348A0">
        <w:rPr>
          <w:rFonts w:ascii="Arial" w:hAnsi="Arial" w:cs="Arial"/>
          <w:sz w:val="20"/>
          <w:szCs w:val="20"/>
        </w:rPr>
        <w:t>The majority of</w:t>
      </w:r>
      <w:proofErr w:type="gramEnd"/>
      <w:r w:rsidRPr="00D348A0">
        <w:rPr>
          <w:rFonts w:ascii="Arial" w:hAnsi="Arial" w:cs="Arial"/>
          <w:sz w:val="20"/>
          <w:szCs w:val="20"/>
        </w:rPr>
        <w:t xml:space="preserve"> suspected breaches will be identified by the sponsor either through routine monitoring or through direct reporting of deviations from trial sites. Sponsors may also identify serious breaches that have occurred </w:t>
      </w:r>
      <w:proofErr w:type="gramStart"/>
      <w:r w:rsidRPr="00D348A0">
        <w:rPr>
          <w:rFonts w:ascii="Arial" w:hAnsi="Arial" w:cs="Arial"/>
          <w:sz w:val="20"/>
          <w:szCs w:val="20"/>
        </w:rPr>
        <w:t>as a result of</w:t>
      </w:r>
      <w:proofErr w:type="gramEnd"/>
      <w:r w:rsidRPr="00D348A0">
        <w:rPr>
          <w:rFonts w:ascii="Arial" w:hAnsi="Arial" w:cs="Arial"/>
          <w:sz w:val="20"/>
          <w:szCs w:val="20"/>
        </w:rPr>
        <w:t xml:space="preserve"> a failure of their own quality systems, which they should report in the same manner. However, some serious breaches may be identified by third parties (e.g. trial sites) who wish to report directly to the reviewing HREC. </w:t>
      </w:r>
    </w:p>
    <w:p w14:paraId="414D6899" w14:textId="77777777" w:rsidR="00EB1DA2" w:rsidRPr="00D348A0" w:rsidRDefault="00EB1DA2" w:rsidP="00EB1DA2">
      <w:pPr>
        <w:spacing w:before="40" w:after="40" w:line="276" w:lineRule="auto"/>
        <w:jc w:val="both"/>
        <w:rPr>
          <w:rFonts w:ascii="Arial" w:hAnsi="Arial" w:cs="Arial"/>
          <w:sz w:val="20"/>
          <w:szCs w:val="20"/>
        </w:rPr>
      </w:pPr>
    </w:p>
    <w:p w14:paraId="51B283BB" w14:textId="77777777" w:rsidR="00EB1DA2" w:rsidRPr="00D348A0" w:rsidRDefault="00EB1DA2" w:rsidP="00EB1DA2">
      <w:pPr>
        <w:spacing w:before="40" w:after="40" w:line="276" w:lineRule="auto"/>
        <w:jc w:val="both"/>
        <w:rPr>
          <w:rFonts w:ascii="Arial" w:hAnsi="Arial" w:cs="Arial"/>
          <w:b/>
          <w:sz w:val="20"/>
          <w:szCs w:val="20"/>
        </w:rPr>
      </w:pPr>
      <w:r w:rsidRPr="00D348A0">
        <w:rPr>
          <w:rFonts w:ascii="Arial" w:hAnsi="Arial" w:cs="Arial"/>
          <w:b/>
          <w:sz w:val="20"/>
          <w:szCs w:val="20"/>
        </w:rPr>
        <w:t>Responsibility of the HREC and potential HREC actions</w:t>
      </w:r>
    </w:p>
    <w:p w14:paraId="48748815" w14:textId="77777777" w:rsidR="00EB1DA2" w:rsidRPr="00D348A0" w:rsidRDefault="00EB1DA2" w:rsidP="00EB1DA2">
      <w:pPr>
        <w:spacing w:before="40" w:after="40" w:line="276" w:lineRule="auto"/>
        <w:jc w:val="both"/>
        <w:rPr>
          <w:rFonts w:ascii="Arial" w:hAnsi="Arial" w:cs="Arial"/>
          <w:sz w:val="20"/>
          <w:szCs w:val="20"/>
        </w:rPr>
      </w:pPr>
      <w:r w:rsidRPr="00D348A0">
        <w:rPr>
          <w:rFonts w:ascii="Arial" w:hAnsi="Arial" w:cs="Arial"/>
          <w:sz w:val="20"/>
          <w:szCs w:val="20"/>
        </w:rPr>
        <w:t>The Chair of the HREC will take whatever actions are deemed necessary to address the unanticipated problem(s). Examples of actions that might be taken include, but are not limited to:</w:t>
      </w:r>
    </w:p>
    <w:p w14:paraId="39955DBA" w14:textId="77777777" w:rsidR="00EB1DA2" w:rsidRPr="00D348A0" w:rsidRDefault="00EB1DA2" w:rsidP="00EB1DA2">
      <w:pPr>
        <w:pStyle w:val="ListParagraph"/>
        <w:numPr>
          <w:ilvl w:val="0"/>
          <w:numId w:val="8"/>
        </w:numPr>
        <w:spacing w:before="40" w:after="40" w:line="276" w:lineRule="auto"/>
        <w:ind w:left="426"/>
        <w:jc w:val="both"/>
        <w:rPr>
          <w:rFonts w:ascii="Arial" w:hAnsi="Arial" w:cs="Arial"/>
          <w:szCs w:val="20"/>
        </w:rPr>
      </w:pPr>
      <w:r w:rsidRPr="00D348A0">
        <w:rPr>
          <w:rFonts w:ascii="Arial" w:hAnsi="Arial" w:cs="Arial"/>
          <w:szCs w:val="20"/>
        </w:rPr>
        <w:t>suspension of all or parts of the research,</w:t>
      </w:r>
    </w:p>
    <w:p w14:paraId="32398914" w14:textId="77777777" w:rsidR="00EB1DA2" w:rsidRPr="00D348A0" w:rsidRDefault="00EB1DA2" w:rsidP="00EB1DA2">
      <w:pPr>
        <w:pStyle w:val="ListParagraph"/>
        <w:numPr>
          <w:ilvl w:val="0"/>
          <w:numId w:val="8"/>
        </w:numPr>
        <w:spacing w:before="40" w:after="40" w:line="276" w:lineRule="auto"/>
        <w:ind w:left="426"/>
        <w:jc w:val="both"/>
        <w:rPr>
          <w:rFonts w:ascii="Arial" w:hAnsi="Arial" w:cs="Arial"/>
          <w:szCs w:val="20"/>
        </w:rPr>
      </w:pPr>
      <w:r w:rsidRPr="00D348A0">
        <w:rPr>
          <w:rFonts w:ascii="Arial" w:hAnsi="Arial" w:cs="Arial"/>
          <w:szCs w:val="20"/>
        </w:rPr>
        <w:t xml:space="preserve">termination of the research, </w:t>
      </w:r>
    </w:p>
    <w:p w14:paraId="644C9C4E" w14:textId="77777777" w:rsidR="00EB1DA2" w:rsidRPr="00D348A0" w:rsidRDefault="00EB1DA2" w:rsidP="00EB1DA2">
      <w:pPr>
        <w:pStyle w:val="ListParagraph"/>
        <w:numPr>
          <w:ilvl w:val="0"/>
          <w:numId w:val="8"/>
        </w:numPr>
        <w:spacing w:before="40" w:after="40" w:line="276" w:lineRule="auto"/>
        <w:ind w:left="426"/>
        <w:jc w:val="both"/>
        <w:rPr>
          <w:rFonts w:ascii="Arial" w:hAnsi="Arial" w:cs="Arial"/>
          <w:szCs w:val="20"/>
        </w:rPr>
      </w:pPr>
      <w:r w:rsidRPr="00D348A0">
        <w:rPr>
          <w:rFonts w:ascii="Arial" w:hAnsi="Arial" w:cs="Arial"/>
          <w:szCs w:val="20"/>
        </w:rPr>
        <w:t>notification of previously enrolled and/or currently enrolled participants of new information,</w:t>
      </w:r>
    </w:p>
    <w:p w14:paraId="6A154695" w14:textId="77777777" w:rsidR="00EB1DA2" w:rsidRPr="00D348A0" w:rsidRDefault="00EB1DA2" w:rsidP="00EB1DA2">
      <w:pPr>
        <w:pStyle w:val="ListParagraph"/>
        <w:numPr>
          <w:ilvl w:val="0"/>
          <w:numId w:val="8"/>
        </w:numPr>
        <w:spacing w:before="40" w:after="40" w:line="276" w:lineRule="auto"/>
        <w:ind w:left="426"/>
        <w:jc w:val="both"/>
        <w:rPr>
          <w:rFonts w:ascii="Arial" w:hAnsi="Arial" w:cs="Arial"/>
          <w:szCs w:val="20"/>
        </w:rPr>
      </w:pPr>
      <w:r w:rsidRPr="00D348A0">
        <w:rPr>
          <w:rFonts w:ascii="Arial" w:hAnsi="Arial" w:cs="Arial"/>
          <w:szCs w:val="20"/>
        </w:rPr>
        <w:t>require modifications to the informed consent,</w:t>
      </w:r>
    </w:p>
    <w:p w14:paraId="4D41B1B2" w14:textId="77777777" w:rsidR="00EB1DA2" w:rsidRPr="00D348A0" w:rsidRDefault="00EB1DA2" w:rsidP="00EB1DA2">
      <w:pPr>
        <w:pStyle w:val="ListParagraph"/>
        <w:numPr>
          <w:ilvl w:val="0"/>
          <w:numId w:val="8"/>
        </w:numPr>
        <w:spacing w:before="40" w:after="40" w:line="276" w:lineRule="auto"/>
        <w:ind w:left="426"/>
        <w:jc w:val="both"/>
        <w:rPr>
          <w:rFonts w:ascii="Arial" w:hAnsi="Arial" w:cs="Arial"/>
          <w:szCs w:val="20"/>
        </w:rPr>
      </w:pPr>
      <w:r w:rsidRPr="00D348A0">
        <w:rPr>
          <w:rFonts w:ascii="Arial" w:hAnsi="Arial" w:cs="Arial"/>
          <w:szCs w:val="20"/>
        </w:rPr>
        <w:t>require modifications to the protocol when permissible,</w:t>
      </w:r>
    </w:p>
    <w:p w14:paraId="6C4AE542" w14:textId="77777777" w:rsidR="00EB1DA2" w:rsidRPr="00D348A0" w:rsidRDefault="00EB1DA2" w:rsidP="00EB1DA2">
      <w:pPr>
        <w:pStyle w:val="ListParagraph"/>
        <w:numPr>
          <w:ilvl w:val="0"/>
          <w:numId w:val="8"/>
        </w:numPr>
        <w:spacing w:before="40" w:after="40" w:line="276" w:lineRule="auto"/>
        <w:ind w:left="426"/>
        <w:jc w:val="both"/>
        <w:rPr>
          <w:rFonts w:ascii="Arial" w:hAnsi="Arial" w:cs="Arial"/>
          <w:szCs w:val="20"/>
        </w:rPr>
      </w:pPr>
      <w:r w:rsidRPr="00D348A0">
        <w:rPr>
          <w:rFonts w:ascii="Arial" w:hAnsi="Arial" w:cs="Arial"/>
          <w:szCs w:val="20"/>
        </w:rPr>
        <w:t>require the investigator to re-consent enrolled participants,</w:t>
      </w:r>
    </w:p>
    <w:p w14:paraId="104A0EE3" w14:textId="77777777" w:rsidR="00EB1DA2" w:rsidRPr="00D348A0" w:rsidRDefault="00EB1DA2" w:rsidP="00EB1DA2">
      <w:pPr>
        <w:pStyle w:val="ListParagraph"/>
        <w:numPr>
          <w:ilvl w:val="0"/>
          <w:numId w:val="8"/>
        </w:numPr>
        <w:spacing w:before="40" w:after="40" w:line="276" w:lineRule="auto"/>
        <w:ind w:left="426"/>
        <w:jc w:val="both"/>
        <w:rPr>
          <w:rFonts w:ascii="Arial" w:hAnsi="Arial" w:cs="Arial"/>
          <w:szCs w:val="20"/>
        </w:rPr>
      </w:pPr>
      <w:r w:rsidRPr="00D348A0">
        <w:rPr>
          <w:rFonts w:ascii="Arial" w:hAnsi="Arial" w:cs="Arial"/>
          <w:szCs w:val="20"/>
        </w:rPr>
        <w:t>increase monitoring of participants,</w:t>
      </w:r>
    </w:p>
    <w:p w14:paraId="0429E253" w14:textId="77777777" w:rsidR="00EB1DA2" w:rsidRPr="00D348A0" w:rsidRDefault="00EB1DA2" w:rsidP="00EB1DA2">
      <w:pPr>
        <w:pStyle w:val="ListParagraph"/>
        <w:numPr>
          <w:ilvl w:val="0"/>
          <w:numId w:val="8"/>
        </w:numPr>
        <w:spacing w:before="40" w:after="40" w:line="276" w:lineRule="auto"/>
        <w:ind w:left="426"/>
        <w:jc w:val="both"/>
        <w:rPr>
          <w:rFonts w:ascii="Arial" w:hAnsi="Arial" w:cs="Arial"/>
          <w:szCs w:val="20"/>
        </w:rPr>
      </w:pPr>
      <w:r w:rsidRPr="00D348A0">
        <w:rPr>
          <w:rFonts w:ascii="Arial" w:hAnsi="Arial" w:cs="Arial"/>
          <w:szCs w:val="20"/>
        </w:rPr>
        <w:t>increase frequency of continuing review,</w:t>
      </w:r>
    </w:p>
    <w:p w14:paraId="55DC450C" w14:textId="77777777" w:rsidR="00EB1DA2" w:rsidRPr="00D348A0" w:rsidRDefault="00EB1DA2" w:rsidP="00EB1DA2">
      <w:pPr>
        <w:pStyle w:val="ListParagraph"/>
        <w:numPr>
          <w:ilvl w:val="0"/>
          <w:numId w:val="8"/>
        </w:numPr>
        <w:spacing w:before="40" w:after="40" w:line="276" w:lineRule="auto"/>
        <w:ind w:left="426"/>
        <w:jc w:val="both"/>
        <w:rPr>
          <w:rFonts w:ascii="Arial" w:hAnsi="Arial" w:cs="Arial"/>
          <w:szCs w:val="20"/>
        </w:rPr>
      </w:pPr>
      <w:r w:rsidRPr="00D348A0">
        <w:rPr>
          <w:rFonts w:ascii="Arial" w:hAnsi="Arial" w:cs="Arial"/>
          <w:szCs w:val="20"/>
        </w:rPr>
        <w:t>observation or monitoring of the research,</w:t>
      </w:r>
    </w:p>
    <w:p w14:paraId="7E51AE5A" w14:textId="77777777" w:rsidR="00EB1DA2" w:rsidRPr="00D348A0" w:rsidRDefault="00EB1DA2" w:rsidP="00EB1DA2">
      <w:pPr>
        <w:pStyle w:val="ListParagraph"/>
        <w:numPr>
          <w:ilvl w:val="0"/>
          <w:numId w:val="8"/>
        </w:numPr>
        <w:spacing w:before="40" w:after="40" w:line="276" w:lineRule="auto"/>
        <w:ind w:left="426"/>
        <w:jc w:val="both"/>
        <w:rPr>
          <w:rFonts w:ascii="Arial" w:hAnsi="Arial" w:cs="Arial"/>
          <w:szCs w:val="20"/>
        </w:rPr>
      </w:pPr>
      <w:r w:rsidRPr="00D348A0">
        <w:rPr>
          <w:rFonts w:ascii="Arial" w:hAnsi="Arial" w:cs="Arial"/>
          <w:szCs w:val="20"/>
        </w:rPr>
        <w:t>require additional training and education,</w:t>
      </w:r>
    </w:p>
    <w:p w14:paraId="1E9AC076" w14:textId="77777777" w:rsidR="00EB1DA2" w:rsidRPr="00D348A0" w:rsidRDefault="00EB1DA2" w:rsidP="00EB1DA2">
      <w:pPr>
        <w:pStyle w:val="ListParagraph"/>
        <w:numPr>
          <w:ilvl w:val="0"/>
          <w:numId w:val="7"/>
        </w:numPr>
        <w:spacing w:before="40" w:after="40" w:line="276" w:lineRule="auto"/>
        <w:ind w:left="426"/>
        <w:jc w:val="both"/>
        <w:rPr>
          <w:rFonts w:ascii="Arial" w:hAnsi="Arial" w:cs="Arial"/>
          <w:szCs w:val="20"/>
        </w:rPr>
      </w:pPr>
      <w:r w:rsidRPr="00D348A0">
        <w:rPr>
          <w:rFonts w:ascii="Arial" w:hAnsi="Arial" w:cs="Arial"/>
          <w:szCs w:val="20"/>
        </w:rPr>
        <w:t>referral to other organisational entities.</w:t>
      </w:r>
    </w:p>
    <w:p w14:paraId="31D63BD2" w14:textId="77777777" w:rsidR="00EB1DA2" w:rsidRPr="00D348A0" w:rsidRDefault="00EB1DA2" w:rsidP="00EB1DA2">
      <w:pPr>
        <w:spacing w:before="40" w:after="40" w:line="276" w:lineRule="auto"/>
        <w:jc w:val="both"/>
        <w:rPr>
          <w:rFonts w:ascii="Arial" w:hAnsi="Arial" w:cs="Arial"/>
          <w:sz w:val="20"/>
          <w:szCs w:val="20"/>
        </w:rPr>
      </w:pPr>
    </w:p>
    <w:p w14:paraId="02C1AFAD" w14:textId="77777777" w:rsidR="00EB1DA2" w:rsidRPr="00D348A0" w:rsidRDefault="00EB1DA2" w:rsidP="00EB1DA2">
      <w:pPr>
        <w:spacing w:before="40" w:after="40" w:line="276" w:lineRule="auto"/>
        <w:jc w:val="both"/>
        <w:rPr>
          <w:rFonts w:ascii="Arial" w:hAnsi="Arial" w:cs="Arial"/>
          <w:sz w:val="20"/>
          <w:szCs w:val="20"/>
        </w:rPr>
      </w:pPr>
      <w:r w:rsidRPr="00D348A0">
        <w:rPr>
          <w:rFonts w:ascii="Arial" w:hAnsi="Arial" w:cs="Arial"/>
          <w:sz w:val="20"/>
          <w:szCs w:val="20"/>
        </w:rPr>
        <w:t>After the HREC Chair/and delegates have received all required documentation to complete their review, a determination will be communicated to the investigator via eProtocol within a reasonable timeframe, but no later than ten business days of the HREC’s decision.</w:t>
      </w:r>
    </w:p>
    <w:p w14:paraId="5B7D1ECB" w14:textId="77777777" w:rsidR="00EB1DA2" w:rsidRPr="00D348A0" w:rsidRDefault="00EB1DA2" w:rsidP="00EB1DA2">
      <w:pPr>
        <w:spacing w:before="40" w:after="40" w:line="276" w:lineRule="auto"/>
        <w:jc w:val="both"/>
        <w:rPr>
          <w:rFonts w:ascii="Arial" w:hAnsi="Arial" w:cs="Arial"/>
          <w:sz w:val="20"/>
          <w:szCs w:val="20"/>
        </w:rPr>
      </w:pPr>
    </w:p>
    <w:p w14:paraId="6A132C42" w14:textId="77777777" w:rsidR="00EB1DA2" w:rsidRPr="00D348A0" w:rsidRDefault="00EB1DA2" w:rsidP="00EB1DA2">
      <w:pPr>
        <w:spacing w:before="40" w:after="40" w:line="276" w:lineRule="auto"/>
        <w:jc w:val="both"/>
        <w:rPr>
          <w:rFonts w:ascii="Arial" w:hAnsi="Arial" w:cs="Arial"/>
          <w:sz w:val="20"/>
          <w:szCs w:val="20"/>
        </w:rPr>
      </w:pPr>
      <w:r w:rsidRPr="00D348A0">
        <w:rPr>
          <w:rFonts w:ascii="Arial" w:hAnsi="Arial" w:cs="Arial"/>
          <w:sz w:val="20"/>
          <w:szCs w:val="20"/>
        </w:rPr>
        <w:t>When the HREC determines that an unanticipated problem or serious or continuing non-compliance has occurred, and the HREC suspends or terminates approval of research, the outcome of the HREC’s actions will be reported to the appropriate Institutional officials and government departments or agency heads.</w:t>
      </w:r>
    </w:p>
    <w:p w14:paraId="7C95E100" w14:textId="77777777" w:rsidR="00EB1DA2" w:rsidRPr="00D348A0" w:rsidRDefault="00EB1DA2" w:rsidP="00EB1DA2">
      <w:pPr>
        <w:spacing w:before="40" w:after="40" w:line="276" w:lineRule="auto"/>
        <w:jc w:val="both"/>
        <w:rPr>
          <w:rFonts w:ascii="Arial" w:hAnsi="Arial" w:cs="Arial"/>
          <w:sz w:val="20"/>
          <w:szCs w:val="20"/>
        </w:rPr>
      </w:pPr>
    </w:p>
    <w:p w14:paraId="1CE5B4F6" w14:textId="77777777" w:rsidR="00EB1DA2" w:rsidRPr="00D348A0" w:rsidRDefault="00EB1DA2" w:rsidP="00EB1DA2">
      <w:pPr>
        <w:spacing w:before="40" w:after="40" w:line="276" w:lineRule="auto"/>
        <w:jc w:val="both"/>
        <w:rPr>
          <w:rFonts w:ascii="Arial" w:hAnsi="Arial" w:cs="Arial"/>
          <w:b/>
        </w:rPr>
      </w:pPr>
      <w:r w:rsidRPr="00D348A0">
        <w:rPr>
          <w:rFonts w:ascii="Arial" w:hAnsi="Arial" w:cs="Arial"/>
          <w:b/>
        </w:rPr>
        <w:t>References</w:t>
      </w:r>
    </w:p>
    <w:p w14:paraId="335C13DD" w14:textId="77777777" w:rsidR="00EB1DA2" w:rsidRPr="00EB1DA2" w:rsidRDefault="00EB1DA2" w:rsidP="00EB1DA2">
      <w:pPr>
        <w:spacing w:before="40" w:after="40" w:line="276" w:lineRule="auto"/>
        <w:jc w:val="both"/>
        <w:rPr>
          <w:rStyle w:val="Hyperlink"/>
          <w:shd w:val="clear" w:color="auto" w:fill="FFFFFF"/>
        </w:rPr>
      </w:pPr>
      <w:hyperlink r:id="rId11" w:history="1">
        <w:r w:rsidRPr="00EB1DA2">
          <w:rPr>
            <w:rStyle w:val="Hyperlink"/>
            <w:rFonts w:ascii="Arial" w:hAnsi="Arial" w:cs="Arial"/>
            <w:sz w:val="20"/>
            <w:szCs w:val="20"/>
            <w:shd w:val="clear" w:color="auto" w:fill="FFFFFF"/>
          </w:rPr>
          <w:t>NHMRC Guidance on reporting serious breaches of GCP</w:t>
        </w:r>
      </w:hyperlink>
    </w:p>
    <w:p w14:paraId="3691467F" w14:textId="596420BF" w:rsidR="00EB1AE6" w:rsidRPr="00EB1DA2" w:rsidRDefault="00013754" w:rsidP="6C790090">
      <w:pPr>
        <w:spacing w:before="40" w:after="40" w:line="276" w:lineRule="auto"/>
        <w:jc w:val="both"/>
        <w:rPr>
          <w:rFonts w:ascii="Arial" w:hAnsi="Arial" w:cs="Arial"/>
          <w:sz w:val="20"/>
          <w:szCs w:val="20"/>
          <w:lang w:val="en-AU"/>
        </w:rPr>
      </w:pPr>
      <w:hyperlink r:id="rId12" w:history="1">
        <w:r w:rsidRPr="00EB1DA2">
          <w:rPr>
            <w:rStyle w:val="Hyperlink"/>
            <w:rFonts w:ascii="Arial" w:hAnsi="Arial" w:cs="Arial"/>
            <w:sz w:val="20"/>
            <w:szCs w:val="20"/>
            <w:shd w:val="clear" w:color="auto" w:fill="FFFFFF"/>
          </w:rPr>
          <w:t>National Statement on Ethical Conduct in Human Research (202</w:t>
        </w:r>
        <w:r w:rsidR="00537307">
          <w:rPr>
            <w:rStyle w:val="Hyperlink"/>
            <w:rFonts w:ascii="Arial" w:hAnsi="Arial" w:cs="Arial"/>
            <w:sz w:val="20"/>
            <w:szCs w:val="20"/>
            <w:shd w:val="clear" w:color="auto" w:fill="FFFFFF"/>
          </w:rPr>
          <w:t>5</w:t>
        </w:r>
        <w:r w:rsidRPr="00EB1DA2">
          <w:rPr>
            <w:rStyle w:val="Hyperlink"/>
            <w:rFonts w:ascii="Arial" w:hAnsi="Arial" w:cs="Arial"/>
            <w:sz w:val="20"/>
            <w:szCs w:val="20"/>
            <w:shd w:val="clear" w:color="auto" w:fill="FFFFFF"/>
          </w:rPr>
          <w:t>)</w:t>
        </w:r>
      </w:hyperlink>
    </w:p>
    <w:p w14:paraId="64782799" w14:textId="5BFECA61" w:rsidR="00EB1DA2" w:rsidRPr="00D348A0" w:rsidRDefault="00387D89" w:rsidP="00EB1DA2">
      <w:pPr>
        <w:spacing w:before="40" w:after="40" w:line="276" w:lineRule="auto"/>
        <w:jc w:val="both"/>
        <w:rPr>
          <w:rFonts w:ascii="Arial" w:hAnsi="Arial" w:cs="Arial"/>
          <w:sz w:val="20"/>
          <w:szCs w:val="20"/>
        </w:rPr>
      </w:pPr>
      <w:r w:rsidRPr="00387D89">
        <w:rPr>
          <w:rFonts w:ascii="Arial" w:hAnsi="Arial" w:cs="Arial"/>
          <w:sz w:val="20"/>
          <w:szCs w:val="20"/>
        </w:rPr>
        <w:t>QM F11.1.1</w:t>
      </w:r>
      <w:r>
        <w:rPr>
          <w:rFonts w:ascii="Arial" w:hAnsi="Arial" w:cs="Arial"/>
          <w:sz w:val="20"/>
          <w:szCs w:val="20"/>
        </w:rPr>
        <w:t xml:space="preserve"> </w:t>
      </w:r>
      <w:r w:rsidR="00EB1DA2" w:rsidRPr="00D348A0">
        <w:rPr>
          <w:rFonts w:ascii="Arial" w:hAnsi="Arial" w:cs="Arial"/>
          <w:sz w:val="20"/>
          <w:szCs w:val="20"/>
        </w:rPr>
        <w:t>Serious breaches report form – sponsor</w:t>
      </w:r>
    </w:p>
    <w:p w14:paraId="709402AE" w14:textId="40273067" w:rsidR="00EB1DA2" w:rsidRDefault="00387D89" w:rsidP="00EB1DA2">
      <w:pPr>
        <w:spacing w:before="40" w:after="40" w:line="276" w:lineRule="auto"/>
        <w:jc w:val="both"/>
        <w:rPr>
          <w:rFonts w:ascii="Arial" w:hAnsi="Arial" w:cs="Arial"/>
          <w:sz w:val="20"/>
          <w:szCs w:val="20"/>
        </w:rPr>
      </w:pPr>
      <w:r w:rsidRPr="00387D89">
        <w:rPr>
          <w:rFonts w:ascii="Arial" w:hAnsi="Arial" w:cs="Arial"/>
          <w:sz w:val="20"/>
          <w:szCs w:val="20"/>
        </w:rPr>
        <w:t>QM F11.1.2</w:t>
      </w:r>
      <w:r>
        <w:rPr>
          <w:rFonts w:ascii="Arial" w:hAnsi="Arial" w:cs="Arial"/>
          <w:sz w:val="20"/>
          <w:szCs w:val="20"/>
        </w:rPr>
        <w:t xml:space="preserve"> </w:t>
      </w:r>
      <w:r w:rsidR="00EB1DA2" w:rsidRPr="00D348A0">
        <w:rPr>
          <w:rFonts w:ascii="Arial" w:hAnsi="Arial" w:cs="Arial"/>
          <w:sz w:val="20"/>
          <w:szCs w:val="20"/>
        </w:rPr>
        <w:t>Serious breaches report form – third party</w:t>
      </w:r>
    </w:p>
    <w:p w14:paraId="7937AED7" w14:textId="77777777" w:rsidR="00EB1DA2" w:rsidRDefault="00EB1DA2" w:rsidP="00EB1DA2">
      <w:pPr>
        <w:rPr>
          <w:rFonts w:ascii="Arial" w:hAnsi="Arial" w:cs="Arial"/>
          <w:sz w:val="20"/>
          <w:szCs w:val="20"/>
        </w:rPr>
      </w:pPr>
    </w:p>
    <w:p w14:paraId="683B6204" w14:textId="77777777" w:rsidR="00EB1DA2" w:rsidRDefault="00EB1DA2" w:rsidP="00EB1DA2">
      <w:pPr>
        <w:rPr>
          <w:rFonts w:ascii="Arial" w:hAnsi="Arial" w:cs="Arial"/>
          <w:sz w:val="20"/>
          <w:szCs w:val="20"/>
        </w:rPr>
      </w:pPr>
    </w:p>
    <w:p w14:paraId="213E2F63" w14:textId="77777777" w:rsidR="00EB1DA2" w:rsidRDefault="00EB1DA2">
      <w:pPr>
        <w:rPr>
          <w:rFonts w:ascii="Arial" w:eastAsia="Calibri" w:hAnsi="Arial" w:cs="Arial"/>
          <w:b/>
          <w:bCs/>
          <w:szCs w:val="20"/>
        </w:rPr>
      </w:pPr>
      <w:r>
        <w:rPr>
          <w:rFonts w:ascii="Arial" w:eastAsia="Calibri" w:hAnsi="Arial" w:cs="Arial"/>
          <w:b/>
          <w:bCs/>
          <w:szCs w:val="20"/>
        </w:rPr>
        <w:br w:type="page"/>
      </w:r>
    </w:p>
    <w:p w14:paraId="492C33A8" w14:textId="5BE953BC" w:rsidR="00EB1DA2" w:rsidRDefault="00EB1DA2" w:rsidP="00EB1DA2">
      <w:pPr>
        <w:spacing w:before="40" w:after="40" w:line="276" w:lineRule="auto"/>
        <w:jc w:val="both"/>
        <w:rPr>
          <w:rFonts w:ascii="Arial" w:eastAsia="Calibri" w:hAnsi="Arial" w:cs="Arial"/>
          <w:b/>
          <w:bCs/>
          <w:szCs w:val="20"/>
        </w:rPr>
      </w:pPr>
      <w:r w:rsidRPr="002A0023">
        <w:rPr>
          <w:rFonts w:ascii="Arial" w:eastAsia="Calibri" w:hAnsi="Arial" w:cs="Arial"/>
          <w:b/>
          <w:bCs/>
          <w:szCs w:val="20"/>
        </w:rPr>
        <w:lastRenderedPageBreak/>
        <w:t xml:space="preserve">Appendix 1: </w:t>
      </w:r>
      <w:r>
        <w:rPr>
          <w:rFonts w:ascii="Arial" w:eastAsia="Calibri" w:hAnsi="Arial" w:cs="Arial"/>
          <w:b/>
          <w:bCs/>
          <w:szCs w:val="20"/>
        </w:rPr>
        <w:t>Examples of Serious Breaches</w:t>
      </w:r>
      <w:r w:rsidRPr="002A0023">
        <w:rPr>
          <w:rFonts w:ascii="Arial" w:eastAsia="Calibri" w:hAnsi="Arial" w:cs="Arial"/>
          <w:b/>
          <w:bCs/>
          <w:szCs w:val="20"/>
        </w:rPr>
        <w:t xml:space="preserve"> </w:t>
      </w:r>
    </w:p>
    <w:p w14:paraId="3FC685B4" w14:textId="5C1C23A6" w:rsidR="00EB1DA2" w:rsidRDefault="00EB1DA2" w:rsidP="00EB1DA2">
      <w:pPr>
        <w:spacing w:after="0"/>
        <w:rPr>
          <w:rFonts w:ascii="Arial" w:hAnsi="Arial" w:cs="Arial"/>
          <w:sz w:val="20"/>
          <w:szCs w:val="20"/>
        </w:rPr>
      </w:pPr>
      <w:r w:rsidRPr="00187711">
        <w:rPr>
          <w:rFonts w:ascii="Arial" w:hAnsi="Arial" w:cs="Arial"/>
          <w:sz w:val="20"/>
          <w:szCs w:val="20"/>
        </w:rPr>
        <w:t>The table below is from ‘</w:t>
      </w:r>
      <w:hyperlink r:id="rId13" w:history="1">
        <w:r w:rsidRPr="00EB1DA2">
          <w:rPr>
            <w:rStyle w:val="Hyperlink"/>
            <w:rFonts w:ascii="Arial" w:hAnsi="Arial" w:cs="Arial"/>
            <w:i/>
            <w:iCs/>
            <w:sz w:val="20"/>
            <w:szCs w:val="20"/>
          </w:rPr>
          <w:t>Reporting of Serious Breaches of Good Clinical Practice (GCP) or the Protocol for Trials Involving Therapeutic Goods’</w:t>
        </w:r>
        <w:r w:rsidRPr="00EB1DA2">
          <w:rPr>
            <w:rStyle w:val="Hyperlink"/>
            <w:rFonts w:ascii="Arial" w:hAnsi="Arial" w:cs="Arial"/>
            <w:sz w:val="20"/>
            <w:szCs w:val="20"/>
          </w:rPr>
          <w:t xml:space="preserve"> guidelines</w:t>
        </w:r>
      </w:hyperlink>
      <w:r w:rsidRPr="00187711">
        <w:rPr>
          <w:rFonts w:ascii="Arial" w:hAnsi="Arial" w:cs="Arial"/>
          <w:sz w:val="20"/>
          <w:szCs w:val="20"/>
        </w:rPr>
        <w:t xml:space="preserve"> of the National Health and Medical Research Council (NHMRC).</w:t>
      </w:r>
    </w:p>
    <w:p w14:paraId="3E0423C8" w14:textId="77777777" w:rsidR="00EB1DA2" w:rsidRDefault="00EB1DA2" w:rsidP="00EB1DA2">
      <w:pPr>
        <w:spacing w:after="0"/>
        <w:rPr>
          <w:rFonts w:ascii="Arial" w:hAnsi="Arial" w:cs="Arial"/>
          <w:sz w:val="20"/>
          <w:szCs w:val="20"/>
        </w:rPr>
      </w:pPr>
    </w:p>
    <w:p w14:paraId="3FDD7DE2" w14:textId="77777777" w:rsidR="00EB1DA2" w:rsidRPr="000E5D33" w:rsidRDefault="00EB1DA2" w:rsidP="00EB1DA2">
      <w:pPr>
        <w:spacing w:after="0"/>
        <w:rPr>
          <w:rFonts w:ascii="Arial" w:hAnsi="Arial" w:cs="Arial"/>
          <w:sz w:val="20"/>
          <w:szCs w:val="20"/>
        </w:rPr>
      </w:pPr>
      <w:r w:rsidRPr="000E5D33">
        <w:rPr>
          <w:rFonts w:ascii="Arial" w:hAnsi="Arial" w:cs="Arial"/>
          <w:sz w:val="20"/>
          <w:szCs w:val="20"/>
        </w:rPr>
        <w:t>The following table provides some examples of the assessment of serious breaches. This list is not</w:t>
      </w:r>
    </w:p>
    <w:p w14:paraId="2F3312DB" w14:textId="77777777" w:rsidR="00EB1DA2" w:rsidRPr="000E5D33" w:rsidRDefault="00EB1DA2" w:rsidP="00EB1DA2">
      <w:pPr>
        <w:spacing w:after="0"/>
        <w:rPr>
          <w:rFonts w:ascii="Arial" w:hAnsi="Arial" w:cs="Arial"/>
          <w:sz w:val="20"/>
          <w:szCs w:val="20"/>
        </w:rPr>
      </w:pPr>
      <w:r w:rsidRPr="000E5D33">
        <w:rPr>
          <w:rFonts w:ascii="Arial" w:hAnsi="Arial" w:cs="Arial"/>
          <w:sz w:val="20"/>
          <w:szCs w:val="20"/>
        </w:rPr>
        <w:t>exhaustive and other types of serious breaches may occur.</w:t>
      </w:r>
    </w:p>
    <w:p w14:paraId="55672789" w14:textId="77777777" w:rsidR="00EB1DA2" w:rsidRDefault="00EB1DA2" w:rsidP="00EB1DA2">
      <w:pPr>
        <w:tabs>
          <w:tab w:val="left" w:pos="6000"/>
        </w:tabs>
        <w:rPr>
          <w:noProof/>
        </w:rPr>
      </w:pPr>
      <w:r w:rsidRPr="00EB1DE9">
        <w:rPr>
          <w:noProof/>
        </w:rPr>
        <w:t xml:space="preserve"> </w:t>
      </w:r>
      <w:r w:rsidRPr="007F3206">
        <w:rPr>
          <w:noProof/>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536"/>
      </w:tblGrid>
      <w:tr w:rsidR="00B219B5" w:rsidRPr="008E7CE5" w14:paraId="303E3EFB" w14:textId="77777777" w:rsidTr="00B219B5">
        <w:trPr>
          <w:trHeight w:val="231"/>
        </w:trPr>
        <w:tc>
          <w:tcPr>
            <w:tcW w:w="4820" w:type="dxa"/>
            <w:shd w:val="clear" w:color="auto" w:fill="ED7D31"/>
          </w:tcPr>
          <w:p w14:paraId="321D8E64" w14:textId="2CD04292" w:rsidR="00B219B5" w:rsidRPr="00B219B5" w:rsidRDefault="00B219B5" w:rsidP="00B219B5">
            <w:pPr>
              <w:pStyle w:val="Pa10"/>
              <w:spacing w:after="100"/>
              <w:rPr>
                <w:rFonts w:ascii="Arial" w:hAnsi="Arial" w:cs="Arial"/>
                <w:b/>
                <w:bCs/>
                <w:color w:val="FFFFFF" w:themeColor="background1"/>
                <w:sz w:val="20"/>
                <w:szCs w:val="20"/>
              </w:rPr>
            </w:pPr>
            <w:r w:rsidRPr="00B219B5">
              <w:rPr>
                <w:rFonts w:ascii="Arial" w:hAnsi="Arial" w:cs="Arial"/>
                <w:b/>
                <w:bCs/>
                <w:color w:val="FFFFFF" w:themeColor="background1"/>
                <w:sz w:val="20"/>
                <w:szCs w:val="20"/>
              </w:rPr>
              <w:t>Details of the report</w:t>
            </w:r>
          </w:p>
        </w:tc>
        <w:tc>
          <w:tcPr>
            <w:tcW w:w="4536" w:type="dxa"/>
            <w:shd w:val="clear" w:color="auto" w:fill="ED7D31"/>
          </w:tcPr>
          <w:p w14:paraId="32EC59D0" w14:textId="4C96AD63" w:rsidR="00B219B5" w:rsidRPr="00B219B5" w:rsidRDefault="00B219B5" w:rsidP="00B219B5">
            <w:pPr>
              <w:pStyle w:val="Pa10"/>
              <w:spacing w:after="100"/>
              <w:rPr>
                <w:rFonts w:ascii="Arial" w:hAnsi="Arial" w:cs="Arial"/>
                <w:b/>
                <w:bCs/>
                <w:color w:val="FFFFFF" w:themeColor="background1"/>
                <w:sz w:val="20"/>
                <w:szCs w:val="20"/>
              </w:rPr>
            </w:pPr>
            <w:r w:rsidRPr="00B219B5">
              <w:rPr>
                <w:rFonts w:ascii="Arial" w:hAnsi="Arial" w:cs="Arial"/>
                <w:b/>
                <w:bCs/>
                <w:color w:val="FFFFFF" w:themeColor="background1"/>
                <w:sz w:val="20"/>
                <w:szCs w:val="20"/>
              </w:rPr>
              <w:t>Was a serious breach confirmed?</w:t>
            </w:r>
          </w:p>
        </w:tc>
      </w:tr>
      <w:tr w:rsidR="00EB1DA2" w:rsidRPr="008E7CE5" w14:paraId="188CF2BF" w14:textId="77777777" w:rsidTr="008C0D23">
        <w:trPr>
          <w:trHeight w:val="529"/>
        </w:trPr>
        <w:tc>
          <w:tcPr>
            <w:tcW w:w="4820" w:type="dxa"/>
          </w:tcPr>
          <w:p w14:paraId="3A814230"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color w:val="000000"/>
                <w:sz w:val="20"/>
                <w:szCs w:val="20"/>
              </w:rPr>
              <w:t xml:space="preserve">1) A participant was dosed with the incorrect IMP which was administered via the incorrect route (the IMP used was from a completely different clinical trial to the one the participant was recruited to). </w:t>
            </w:r>
          </w:p>
        </w:tc>
        <w:tc>
          <w:tcPr>
            <w:tcW w:w="4536" w:type="dxa"/>
          </w:tcPr>
          <w:p w14:paraId="05974DB6"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Yes</w:t>
            </w:r>
            <w:r w:rsidRPr="008E7CE5">
              <w:rPr>
                <w:rFonts w:ascii="Arial" w:hAnsi="Arial" w:cs="Arial"/>
                <w:color w:val="000000"/>
                <w:sz w:val="20"/>
                <w:szCs w:val="20"/>
              </w:rPr>
              <w:t xml:space="preserve">, there was potential for significant impact on the safety or rights of trial participants. </w:t>
            </w:r>
          </w:p>
        </w:tc>
      </w:tr>
      <w:tr w:rsidR="00EB1DA2" w:rsidRPr="008E7CE5" w14:paraId="0855590E" w14:textId="77777777" w:rsidTr="008C0D23">
        <w:trPr>
          <w:trHeight w:val="715"/>
        </w:trPr>
        <w:tc>
          <w:tcPr>
            <w:tcW w:w="4820" w:type="dxa"/>
          </w:tcPr>
          <w:p w14:paraId="724942A1"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color w:val="000000"/>
                <w:sz w:val="20"/>
                <w:szCs w:val="20"/>
              </w:rPr>
              <w:t xml:space="preserve">2) A participant was dosed with the IMP from the incorrect treatment arm. In addition, some months later, the participants in an entire cohort were incorrectly dosed with IMP three times daily when they should have been dosed once daily. </w:t>
            </w:r>
          </w:p>
        </w:tc>
        <w:tc>
          <w:tcPr>
            <w:tcW w:w="4536" w:type="dxa"/>
          </w:tcPr>
          <w:p w14:paraId="7F8E11FF" w14:textId="38934908"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Yes</w:t>
            </w:r>
            <w:r w:rsidRPr="008E7CE5">
              <w:rPr>
                <w:rFonts w:ascii="Arial" w:hAnsi="Arial" w:cs="Arial"/>
                <w:color w:val="000000"/>
                <w:sz w:val="20"/>
                <w:szCs w:val="20"/>
              </w:rPr>
              <w:t xml:space="preserve">, there was significant impact on the safety or rights of trial participants and on data reliability/robustness. In addition, the issue was systematic and persistent and continued despite implementation of a corrective and preventative action plan. </w:t>
            </w:r>
          </w:p>
        </w:tc>
      </w:tr>
      <w:tr w:rsidR="00EB1DA2" w:rsidRPr="008E7CE5" w14:paraId="2766737E" w14:textId="77777777" w:rsidTr="008C0D23">
        <w:trPr>
          <w:trHeight w:val="475"/>
        </w:trPr>
        <w:tc>
          <w:tcPr>
            <w:tcW w:w="4820" w:type="dxa"/>
          </w:tcPr>
          <w:p w14:paraId="4D46137A"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color w:val="000000"/>
                <w:sz w:val="20"/>
                <w:szCs w:val="20"/>
              </w:rPr>
              <w:t xml:space="preserve">3) One participant was administered six additional doses of the IMP. The participant was to receive the IMP on day 1 </w:t>
            </w:r>
            <w:r w:rsidRPr="008E7CE5">
              <w:rPr>
                <w:rFonts w:ascii="Arial" w:hAnsi="Arial" w:cs="Arial"/>
                <w:i/>
                <w:iCs/>
                <w:color w:val="000000"/>
                <w:sz w:val="20"/>
                <w:szCs w:val="20"/>
              </w:rPr>
              <w:t xml:space="preserve">and </w:t>
            </w:r>
            <w:r w:rsidRPr="008E7CE5">
              <w:rPr>
                <w:rFonts w:ascii="Arial" w:hAnsi="Arial" w:cs="Arial"/>
                <w:color w:val="000000"/>
                <w:sz w:val="20"/>
                <w:szCs w:val="20"/>
              </w:rPr>
              <w:t xml:space="preserve">8 but instead received the IMP on days 1 </w:t>
            </w:r>
            <w:r w:rsidRPr="008E7CE5">
              <w:rPr>
                <w:rFonts w:ascii="Arial" w:hAnsi="Arial" w:cs="Arial"/>
                <w:i/>
                <w:iCs/>
                <w:color w:val="000000"/>
                <w:sz w:val="20"/>
                <w:szCs w:val="20"/>
              </w:rPr>
              <w:t xml:space="preserve">to </w:t>
            </w:r>
            <w:r w:rsidRPr="008E7CE5">
              <w:rPr>
                <w:rFonts w:ascii="Arial" w:hAnsi="Arial" w:cs="Arial"/>
                <w:color w:val="000000"/>
                <w:sz w:val="20"/>
                <w:szCs w:val="20"/>
              </w:rPr>
              <w:t xml:space="preserve">8. The participant experienced a severe adverse event as a result. </w:t>
            </w:r>
          </w:p>
        </w:tc>
        <w:tc>
          <w:tcPr>
            <w:tcW w:w="4536" w:type="dxa"/>
          </w:tcPr>
          <w:p w14:paraId="1465FB4D" w14:textId="212E253F"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Yes</w:t>
            </w:r>
            <w:r w:rsidRPr="008E7CE5">
              <w:rPr>
                <w:rFonts w:ascii="Arial" w:hAnsi="Arial" w:cs="Arial"/>
                <w:color w:val="000000"/>
                <w:sz w:val="20"/>
                <w:szCs w:val="20"/>
              </w:rPr>
              <w:t>, there was significant impact on the safety or rights of the trial participant</w:t>
            </w:r>
            <w:r w:rsidR="0023715B">
              <w:rPr>
                <w:rFonts w:ascii="Arial" w:hAnsi="Arial" w:cs="Arial"/>
                <w:color w:val="000000"/>
                <w:sz w:val="20"/>
                <w:szCs w:val="20"/>
              </w:rPr>
              <w:t>.</w:t>
            </w:r>
          </w:p>
        </w:tc>
      </w:tr>
      <w:tr w:rsidR="00EB1DA2" w:rsidRPr="008E7CE5" w14:paraId="1CB5A4E9" w14:textId="77777777" w:rsidTr="008C0D23">
        <w:trPr>
          <w:trHeight w:val="595"/>
        </w:trPr>
        <w:tc>
          <w:tcPr>
            <w:tcW w:w="4820" w:type="dxa"/>
          </w:tcPr>
          <w:p w14:paraId="20697D4B" w14:textId="04F9EB5D" w:rsidR="00EB1DA2" w:rsidRPr="008E7CE5" w:rsidRDefault="00EB1DA2" w:rsidP="008C0D23">
            <w:pPr>
              <w:pStyle w:val="Pa10"/>
              <w:spacing w:after="100"/>
              <w:rPr>
                <w:rFonts w:ascii="Arial" w:hAnsi="Arial" w:cs="Arial"/>
                <w:color w:val="000000"/>
                <w:sz w:val="20"/>
                <w:szCs w:val="20"/>
              </w:rPr>
            </w:pPr>
            <w:r w:rsidRPr="008E7CE5">
              <w:rPr>
                <w:rFonts w:ascii="Arial" w:hAnsi="Arial" w:cs="Arial"/>
                <w:color w:val="000000"/>
                <w:sz w:val="20"/>
                <w:szCs w:val="20"/>
              </w:rPr>
              <w:t>4) IMP had expired and was awaiting relabelling for extension of the use by date, which had been approved by the sponsor’s Authorised Person.</w:t>
            </w:r>
            <w:r w:rsidRPr="008E7CE5">
              <w:rPr>
                <w:rStyle w:val="A9"/>
                <w:rFonts w:ascii="Arial" w:hAnsi="Arial" w:cs="Arial"/>
                <w:sz w:val="20"/>
                <w:szCs w:val="20"/>
              </w:rPr>
              <w:t xml:space="preserve"> </w:t>
            </w:r>
            <w:r w:rsidRPr="008E7CE5">
              <w:rPr>
                <w:rFonts w:ascii="Arial" w:hAnsi="Arial" w:cs="Arial"/>
                <w:color w:val="000000"/>
                <w:sz w:val="20"/>
                <w:szCs w:val="20"/>
              </w:rPr>
              <w:t xml:space="preserve">The IMP had not been quarantined as requested and had been dispensed to one patient shortly after the expiry. </w:t>
            </w:r>
          </w:p>
        </w:tc>
        <w:tc>
          <w:tcPr>
            <w:tcW w:w="4536" w:type="dxa"/>
          </w:tcPr>
          <w:p w14:paraId="09F87BE5"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No</w:t>
            </w:r>
            <w:r w:rsidRPr="008E7CE5">
              <w:rPr>
                <w:rFonts w:ascii="Arial" w:hAnsi="Arial" w:cs="Arial"/>
                <w:color w:val="000000"/>
                <w:sz w:val="20"/>
                <w:szCs w:val="20"/>
              </w:rPr>
              <w:t xml:space="preserve">, because there was no impact on the safety or rights of the trial participant as the label extension had been approved. If this were to happen more than once, it might then become a serious breach. </w:t>
            </w:r>
          </w:p>
        </w:tc>
      </w:tr>
      <w:tr w:rsidR="00EB1DA2" w:rsidRPr="008E7CE5" w14:paraId="65100E9C" w14:textId="77777777" w:rsidTr="008C0D23">
        <w:trPr>
          <w:trHeight w:val="1012"/>
        </w:trPr>
        <w:tc>
          <w:tcPr>
            <w:tcW w:w="4820" w:type="dxa"/>
          </w:tcPr>
          <w:p w14:paraId="7F843244"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color w:val="000000"/>
                <w:sz w:val="20"/>
                <w:szCs w:val="20"/>
              </w:rPr>
              <w:t xml:space="preserve">5) IMP temperature excursions reported. </w:t>
            </w:r>
          </w:p>
        </w:tc>
        <w:tc>
          <w:tcPr>
            <w:tcW w:w="4536" w:type="dxa"/>
          </w:tcPr>
          <w:p w14:paraId="0D8960AE"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Yes</w:t>
            </w:r>
            <w:r w:rsidRPr="008E7CE5">
              <w:rPr>
                <w:rFonts w:ascii="Arial" w:hAnsi="Arial" w:cs="Arial"/>
                <w:color w:val="000000"/>
                <w:sz w:val="20"/>
                <w:szCs w:val="20"/>
              </w:rPr>
              <w:t xml:space="preserve">, if the excursion was not managed and participants were dosed with the IMP assessed as unstable. </w:t>
            </w:r>
          </w:p>
          <w:p w14:paraId="6A4E9DFE"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No</w:t>
            </w:r>
            <w:r w:rsidRPr="008E7CE5">
              <w:rPr>
                <w:rFonts w:ascii="Arial" w:hAnsi="Arial" w:cs="Arial"/>
                <w:color w:val="000000"/>
                <w:sz w:val="20"/>
                <w:szCs w:val="20"/>
              </w:rPr>
              <w:t xml:space="preserve">, if the excursions had been managed appropriately (e.g., the IMP was moved to an alternative location/quarantined as necessary and an assessment confirmed that there was no impact on participant safety or data integrity). </w:t>
            </w:r>
          </w:p>
        </w:tc>
      </w:tr>
      <w:tr w:rsidR="00EB1DA2" w:rsidRPr="008E7CE5" w14:paraId="3CB99D95" w14:textId="77777777" w:rsidTr="008C0D23">
        <w:trPr>
          <w:trHeight w:val="235"/>
        </w:trPr>
        <w:tc>
          <w:tcPr>
            <w:tcW w:w="4820" w:type="dxa"/>
          </w:tcPr>
          <w:p w14:paraId="340D61BF"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color w:val="000000"/>
                <w:sz w:val="20"/>
                <w:szCs w:val="20"/>
              </w:rPr>
              <w:t xml:space="preserve">6) Blood samples from a cohort were invalid due to being processed incorrectly. As a result, one of the secondary endpoints could not be met. </w:t>
            </w:r>
          </w:p>
        </w:tc>
        <w:tc>
          <w:tcPr>
            <w:tcW w:w="4536" w:type="dxa"/>
          </w:tcPr>
          <w:p w14:paraId="006BA585"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Yes</w:t>
            </w:r>
            <w:r w:rsidRPr="008E7CE5">
              <w:rPr>
                <w:rFonts w:ascii="Arial" w:hAnsi="Arial" w:cs="Arial"/>
                <w:color w:val="000000"/>
                <w:sz w:val="20"/>
                <w:szCs w:val="20"/>
              </w:rPr>
              <w:t xml:space="preserve">, exclusion of the data from the analysis impacted data reliability/robustness. </w:t>
            </w:r>
          </w:p>
        </w:tc>
      </w:tr>
      <w:tr w:rsidR="00EB1DA2" w:rsidRPr="008E7CE5" w14:paraId="5E719AFA" w14:textId="77777777" w:rsidTr="008C0D23">
        <w:trPr>
          <w:trHeight w:val="355"/>
        </w:trPr>
        <w:tc>
          <w:tcPr>
            <w:tcW w:w="4820" w:type="dxa"/>
          </w:tcPr>
          <w:p w14:paraId="37DF34CC"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color w:val="000000"/>
                <w:sz w:val="20"/>
                <w:szCs w:val="20"/>
              </w:rPr>
              <w:t xml:space="preserve">7) Multiple issues with the Interactive Response Technology (IRT) system across several clinical trials leading to the dispensing of expired IMP and a shortage of IMP at investigator sites. </w:t>
            </w:r>
          </w:p>
        </w:tc>
        <w:tc>
          <w:tcPr>
            <w:tcW w:w="4536" w:type="dxa"/>
          </w:tcPr>
          <w:p w14:paraId="08F948FC"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Yes</w:t>
            </w:r>
            <w:r w:rsidRPr="008E7CE5">
              <w:rPr>
                <w:rFonts w:ascii="Arial" w:hAnsi="Arial" w:cs="Arial"/>
                <w:color w:val="000000"/>
                <w:sz w:val="20"/>
                <w:szCs w:val="20"/>
              </w:rPr>
              <w:t xml:space="preserve">, the issue was persistent and there was significant impact on the safety or rights of trial participants and data reliability/robustness. </w:t>
            </w:r>
          </w:p>
        </w:tc>
      </w:tr>
      <w:tr w:rsidR="00EB1DA2" w:rsidRPr="008E7CE5" w14:paraId="1A7B1BC5" w14:textId="77777777" w:rsidTr="008C0D23">
        <w:trPr>
          <w:trHeight w:val="475"/>
        </w:trPr>
        <w:tc>
          <w:tcPr>
            <w:tcW w:w="4820" w:type="dxa"/>
          </w:tcPr>
          <w:p w14:paraId="475341D6"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color w:val="000000"/>
                <w:sz w:val="20"/>
                <w:szCs w:val="20"/>
              </w:rPr>
              <w:t xml:space="preserve">8) Repeat ECGs were not performed, as required by the protocol. There was inadequate quality control of the interim safety reports used for dose escalation, which gave rise to the potential for stopping criteria to be missed. </w:t>
            </w:r>
          </w:p>
        </w:tc>
        <w:tc>
          <w:tcPr>
            <w:tcW w:w="4536" w:type="dxa"/>
          </w:tcPr>
          <w:p w14:paraId="6011807D"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Yes</w:t>
            </w:r>
            <w:r w:rsidRPr="008E7CE5">
              <w:rPr>
                <w:rFonts w:ascii="Arial" w:hAnsi="Arial" w:cs="Arial"/>
                <w:color w:val="000000"/>
                <w:sz w:val="20"/>
                <w:szCs w:val="20"/>
              </w:rPr>
              <w:t xml:space="preserve">, there was potential for significant impact on the safety or rights of trial participants. </w:t>
            </w:r>
          </w:p>
        </w:tc>
      </w:tr>
      <w:tr w:rsidR="00EB1DA2" w:rsidRPr="008E7CE5" w14:paraId="25DDE77E" w14:textId="77777777" w:rsidTr="008C0D23">
        <w:trPr>
          <w:trHeight w:val="355"/>
        </w:trPr>
        <w:tc>
          <w:tcPr>
            <w:tcW w:w="4820" w:type="dxa"/>
          </w:tcPr>
          <w:p w14:paraId="7FE51EAB"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color w:val="000000"/>
                <w:sz w:val="20"/>
                <w:szCs w:val="20"/>
              </w:rPr>
              <w:lastRenderedPageBreak/>
              <w:t xml:space="preserve">9) The investigator failed to report one SAE as defined in the protocol in a trial where the safety profile of the IMP was well characterised (re-training provided). </w:t>
            </w:r>
          </w:p>
        </w:tc>
        <w:tc>
          <w:tcPr>
            <w:tcW w:w="4536" w:type="dxa"/>
          </w:tcPr>
          <w:p w14:paraId="13D6789D"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No</w:t>
            </w:r>
            <w:r w:rsidRPr="008E7CE5">
              <w:rPr>
                <w:rFonts w:ascii="Arial" w:hAnsi="Arial" w:cs="Arial"/>
                <w:color w:val="000000"/>
                <w:sz w:val="20"/>
                <w:szCs w:val="20"/>
              </w:rPr>
              <w:t xml:space="preserve">, as there was no significant impact on the safety or rights of the participant. </w:t>
            </w:r>
          </w:p>
        </w:tc>
      </w:tr>
      <w:tr w:rsidR="00EB1DA2" w:rsidRPr="008E7CE5" w14:paraId="216968EF" w14:textId="77777777" w:rsidTr="008C0D23">
        <w:trPr>
          <w:trHeight w:val="355"/>
        </w:trPr>
        <w:tc>
          <w:tcPr>
            <w:tcW w:w="4820" w:type="dxa"/>
          </w:tcPr>
          <w:p w14:paraId="4D06990D"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color w:val="000000"/>
                <w:sz w:val="20"/>
                <w:szCs w:val="20"/>
              </w:rPr>
              <w:t xml:space="preserve">10) Investigator site failed to reduce or stop trial medication in response to certain laboratory parameters, as required by the protocol. Participants were exposed to an increased risk of thrombosis. This occurred with several participants over a one-year period, despite identification by the monitor of the first two occasions. </w:t>
            </w:r>
          </w:p>
        </w:tc>
        <w:tc>
          <w:tcPr>
            <w:tcW w:w="4536" w:type="dxa"/>
          </w:tcPr>
          <w:p w14:paraId="112A5E1E"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Yes</w:t>
            </w:r>
            <w:r w:rsidRPr="008E7CE5">
              <w:rPr>
                <w:rFonts w:ascii="Arial" w:hAnsi="Arial" w:cs="Arial"/>
                <w:color w:val="000000"/>
                <w:sz w:val="20"/>
                <w:szCs w:val="20"/>
              </w:rPr>
              <w:t xml:space="preserve">, there was potential for significant impact on the safety or rights of trial participants. </w:t>
            </w:r>
          </w:p>
        </w:tc>
      </w:tr>
      <w:tr w:rsidR="00EB1DA2" w:rsidRPr="008E7CE5" w14:paraId="7A483249" w14:textId="77777777" w:rsidTr="008C0D23">
        <w:trPr>
          <w:trHeight w:val="355"/>
        </w:trPr>
        <w:tc>
          <w:tcPr>
            <w:tcW w:w="4820" w:type="dxa"/>
          </w:tcPr>
          <w:p w14:paraId="63EB6FF7"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color w:val="000000"/>
                <w:sz w:val="20"/>
                <w:szCs w:val="20"/>
              </w:rPr>
              <w:t xml:space="preserve">11) On three occasions a site failed to see a patient within the protocol-specified visit window. </w:t>
            </w:r>
          </w:p>
        </w:tc>
        <w:tc>
          <w:tcPr>
            <w:tcW w:w="4536" w:type="dxa"/>
          </w:tcPr>
          <w:p w14:paraId="5A333A16"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No</w:t>
            </w:r>
            <w:r w:rsidRPr="008E7CE5">
              <w:rPr>
                <w:rFonts w:ascii="Arial" w:hAnsi="Arial" w:cs="Arial"/>
                <w:color w:val="000000"/>
                <w:sz w:val="20"/>
                <w:szCs w:val="20"/>
              </w:rPr>
              <w:t xml:space="preserve">, </w:t>
            </w:r>
            <w:r>
              <w:rPr>
                <w:rFonts w:ascii="Arial" w:hAnsi="Arial" w:cs="Arial"/>
                <w:color w:val="000000"/>
                <w:sz w:val="20"/>
                <w:szCs w:val="20"/>
              </w:rPr>
              <w:t>t</w:t>
            </w:r>
            <w:r w:rsidRPr="008E7CE5">
              <w:rPr>
                <w:rFonts w:ascii="Arial" w:hAnsi="Arial" w:cs="Arial"/>
                <w:color w:val="000000"/>
                <w:sz w:val="20"/>
                <w:szCs w:val="20"/>
              </w:rPr>
              <w:t xml:space="preserve">he deviation had minimal impact on participant safety or data reliability/robustness. The deviations were a consequence of unnecessarily narrow inclusion criteria, which was rectified through a protocol amendment. </w:t>
            </w:r>
          </w:p>
        </w:tc>
      </w:tr>
      <w:tr w:rsidR="00EB1DA2" w:rsidRPr="008E7CE5" w14:paraId="31B48BC2" w14:textId="77777777" w:rsidTr="008C0D23">
        <w:trPr>
          <w:trHeight w:val="355"/>
        </w:trPr>
        <w:tc>
          <w:tcPr>
            <w:tcW w:w="4820" w:type="dxa"/>
          </w:tcPr>
          <w:p w14:paraId="3EBE019F"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color w:val="000000"/>
                <w:sz w:val="20"/>
                <w:szCs w:val="20"/>
              </w:rPr>
              <w:t xml:space="preserve">12) Participant Information Sheet and Consent Form was updated with significant new safety data (a new drug-drug interaction). At one trial site, this was not relayed to the participants until approximately 3 months after approval. </w:t>
            </w:r>
          </w:p>
        </w:tc>
        <w:tc>
          <w:tcPr>
            <w:tcW w:w="4536" w:type="dxa"/>
          </w:tcPr>
          <w:p w14:paraId="1A510835"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Yes</w:t>
            </w:r>
            <w:r w:rsidRPr="008E7CE5">
              <w:rPr>
                <w:rFonts w:ascii="Arial" w:hAnsi="Arial" w:cs="Arial"/>
                <w:color w:val="000000"/>
                <w:sz w:val="20"/>
                <w:szCs w:val="20"/>
              </w:rPr>
              <w:t xml:space="preserve">, the failure to inform participants in a timely manner resulted in significant impact on their safety or rights. </w:t>
            </w:r>
          </w:p>
        </w:tc>
      </w:tr>
      <w:tr w:rsidR="00EB1DA2" w:rsidRPr="008E7CE5" w14:paraId="73E7009D" w14:textId="77777777" w:rsidTr="008C0D23">
        <w:trPr>
          <w:trHeight w:val="355"/>
        </w:trPr>
        <w:tc>
          <w:tcPr>
            <w:tcW w:w="4820" w:type="dxa"/>
          </w:tcPr>
          <w:p w14:paraId="76625549"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color w:val="000000"/>
                <w:sz w:val="20"/>
                <w:szCs w:val="20"/>
              </w:rPr>
              <w:t xml:space="preserve">13) Poor communication/protocol instructions from a sponsor to the site in a chemotherapy trial resulted in the wrong equipment being used to dose the participant (an infusion pump instead of a syringe driver). Participants were significantly under-dosed. </w:t>
            </w:r>
          </w:p>
        </w:tc>
        <w:tc>
          <w:tcPr>
            <w:tcW w:w="4536" w:type="dxa"/>
          </w:tcPr>
          <w:p w14:paraId="356EBA1F" w14:textId="77777777" w:rsidR="00EB1DA2" w:rsidRPr="008E7CE5" w:rsidRDefault="00EB1DA2" w:rsidP="008C0D23">
            <w:pPr>
              <w:pStyle w:val="Pa10"/>
              <w:spacing w:after="100"/>
              <w:rPr>
                <w:rFonts w:ascii="Arial" w:hAnsi="Arial" w:cs="Arial"/>
                <w:color w:val="000000"/>
                <w:sz w:val="20"/>
                <w:szCs w:val="20"/>
              </w:rPr>
            </w:pPr>
            <w:r w:rsidRPr="008E7CE5">
              <w:rPr>
                <w:rFonts w:ascii="Arial" w:hAnsi="Arial" w:cs="Arial"/>
                <w:b/>
                <w:bCs/>
                <w:color w:val="000000"/>
                <w:sz w:val="20"/>
                <w:szCs w:val="20"/>
              </w:rPr>
              <w:t>Yes</w:t>
            </w:r>
            <w:r w:rsidRPr="008E7CE5">
              <w:rPr>
                <w:rFonts w:ascii="Arial" w:hAnsi="Arial" w:cs="Arial"/>
                <w:color w:val="000000"/>
                <w:sz w:val="20"/>
                <w:szCs w:val="20"/>
              </w:rPr>
              <w:t>, there was significant impact on the safety of trial participants and the reliability /robustness of trial data.</w:t>
            </w:r>
          </w:p>
        </w:tc>
      </w:tr>
    </w:tbl>
    <w:p w14:paraId="000F8093" w14:textId="77777777" w:rsidR="00EB1DA2" w:rsidRDefault="00EB1DA2" w:rsidP="00EB1DA2">
      <w:pPr>
        <w:tabs>
          <w:tab w:val="left" w:pos="6000"/>
        </w:tabs>
        <w:rPr>
          <w:noProof/>
        </w:rPr>
      </w:pPr>
    </w:p>
    <w:p w14:paraId="6DC42C7D" w14:textId="77777777" w:rsidR="00EB1DA2" w:rsidRPr="00A31FF6" w:rsidRDefault="00EB1DA2" w:rsidP="00EB1DA2">
      <w:pPr>
        <w:tabs>
          <w:tab w:val="left" w:pos="6000"/>
        </w:tabs>
        <w:rPr>
          <w:rFonts w:ascii="Arial" w:hAnsi="Arial" w:cs="Arial"/>
          <w:sz w:val="20"/>
          <w:szCs w:val="20"/>
        </w:rPr>
      </w:pPr>
      <w:r>
        <w:rPr>
          <w:rFonts w:ascii="Arial" w:hAnsi="Arial" w:cs="Arial"/>
          <w:sz w:val="20"/>
          <w:szCs w:val="20"/>
        </w:rPr>
        <w:tab/>
      </w:r>
    </w:p>
    <w:p w14:paraId="1D49C601" w14:textId="6ABCB4FC" w:rsidR="00300924" w:rsidRPr="00013754" w:rsidRDefault="00300924" w:rsidP="00EB1DA2">
      <w:pPr>
        <w:spacing w:before="40" w:after="40" w:line="276" w:lineRule="auto"/>
        <w:jc w:val="both"/>
        <w:rPr>
          <w:rFonts w:cstheme="minorHAnsi"/>
          <w:lang w:val="en-AU"/>
        </w:rPr>
      </w:pPr>
    </w:p>
    <w:sectPr w:rsidR="00300924" w:rsidRPr="00013754" w:rsidSect="00C54064">
      <w:headerReference w:type="default" r:id="rId14"/>
      <w:footerReference w:type="default" r:id="rId15"/>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31C6B" w14:textId="77777777" w:rsidR="0074110F" w:rsidRDefault="0074110F" w:rsidP="008C7742">
      <w:pPr>
        <w:spacing w:after="0" w:line="240" w:lineRule="auto"/>
      </w:pPr>
      <w:r>
        <w:separator/>
      </w:r>
    </w:p>
  </w:endnote>
  <w:endnote w:type="continuationSeparator" w:id="0">
    <w:p w14:paraId="2FFF5F74" w14:textId="77777777" w:rsidR="0074110F" w:rsidRDefault="0074110F" w:rsidP="008C7742">
      <w:pPr>
        <w:spacing w:after="0" w:line="240" w:lineRule="auto"/>
      </w:pPr>
      <w:r>
        <w:continuationSeparator/>
      </w:r>
    </w:p>
  </w:endnote>
  <w:endnote w:type="continuationNotice" w:id="1">
    <w:p w14:paraId="0733674C" w14:textId="77777777" w:rsidR="0074110F" w:rsidRDefault="007411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Neue LightCon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171F30EB" w:rsidR="007A46E1" w:rsidRPr="00606D34" w:rsidRDefault="00476B14" w:rsidP="00387D89">
    <w:pPr>
      <w:pStyle w:val="Footer"/>
      <w:pBdr>
        <w:top w:val="single" w:sz="18" w:space="1" w:color="FF00FF"/>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23715B">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5-12-09T00:00:00Z">
          <w:dateFormat w:val="d/MM/yyyy"/>
          <w:lid w:val="en-AU"/>
          <w:storeMappedDataAs w:val="dateTime"/>
          <w:calendar w:val="gregorian"/>
        </w:date>
      </w:sdtPr>
      <w:sdtEndPr/>
      <w:sdtContent>
        <w:r w:rsidR="001777AF">
          <w:rPr>
            <w:rFonts w:ascii="Arial" w:hAnsi="Arial" w:cs="Arial"/>
            <w:sz w:val="16"/>
            <w:szCs w:val="16"/>
            <w:lang w:val="en-AU"/>
          </w:rPr>
          <w:t>9/12/2025</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3F32F9">
      <w:rPr>
        <w:rFonts w:ascii="Arial" w:hAnsi="Arial" w:cs="Arial"/>
        <w:sz w:val="16"/>
        <w:szCs w:val="16"/>
      </w:rPr>
      <w:t xml:space="preserve"> </w:t>
    </w:r>
    <w:sdt>
      <w:sdtPr>
        <w:rPr>
          <w:rFonts w:ascii="Arial" w:hAnsi="Arial" w:cs="Arial"/>
          <w:sz w:val="16"/>
          <w:szCs w:val="16"/>
        </w:rPr>
        <w:alias w:val="Doc Owner Role"/>
        <w:tag w:val="Doc_x0020_Owner_x0020_Role"/>
        <w:id w:val="533772558"/>
        <w:placeholder>
          <w:docPart w:val="F2864CAC1E8C4EEDA83648271186647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FE0A08">
          <w:rPr>
            <w:rFonts w:ascii="Arial" w:hAnsi="Arial" w:cs="Arial"/>
            <w:sz w:val="16"/>
            <w:szCs w:val="16"/>
          </w:rPr>
          <w:t>Director of Operations</w:t>
        </w:r>
      </w:sdtContent>
    </w:sdt>
    <w:r w:rsidR="007A46E1" w:rsidRPr="00606D34">
      <w:rPr>
        <w:rFonts w:ascii="Arial" w:hAnsi="Arial" w:cs="Arial"/>
        <w:sz w:val="16"/>
        <w:szCs w:val="16"/>
      </w:rPr>
      <w:tab/>
    </w:r>
    <w:r w:rsidR="00EB1DA2">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33871" w14:textId="77777777" w:rsidR="0074110F" w:rsidRDefault="0074110F" w:rsidP="008C7742">
      <w:pPr>
        <w:spacing w:after="0" w:line="240" w:lineRule="auto"/>
      </w:pPr>
      <w:r>
        <w:separator/>
      </w:r>
    </w:p>
  </w:footnote>
  <w:footnote w:type="continuationSeparator" w:id="0">
    <w:p w14:paraId="4CCFCE29" w14:textId="77777777" w:rsidR="0074110F" w:rsidRDefault="0074110F" w:rsidP="008C7742">
      <w:pPr>
        <w:spacing w:after="0" w:line="240" w:lineRule="auto"/>
      </w:pPr>
      <w:r>
        <w:continuationSeparator/>
      </w:r>
    </w:p>
  </w:footnote>
  <w:footnote w:type="continuationNotice" w:id="1">
    <w:p w14:paraId="306671EF" w14:textId="77777777" w:rsidR="0074110F" w:rsidRDefault="007411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FF00FF"/>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1777AF">
      <w:tc>
        <w:tcPr>
          <w:tcW w:w="3648" w:type="dxa"/>
          <w:vMerge w:val="restart"/>
        </w:tcPr>
        <w:p w14:paraId="34576FE9" w14:textId="5085AFF0"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FF00FF"/>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1">
            <w:listItem w:value="[Document Category]"/>
          </w:dropDownList>
        </w:sdtPr>
        <w:sdtEndPr/>
        <w:sdtContent>
          <w:tc>
            <w:tcPr>
              <w:tcW w:w="5991" w:type="dxa"/>
            </w:tcPr>
            <w:p w14:paraId="196D097A" w14:textId="2D20CDBE" w:rsidR="00BE11F5" w:rsidRPr="001777AF" w:rsidRDefault="001777AF" w:rsidP="005C301B">
              <w:pPr>
                <w:ind w:right="-101"/>
                <w:jc w:val="right"/>
                <w:rPr>
                  <w:rFonts w:ascii="Arial" w:hAnsi="Arial" w:cs="Arial"/>
                  <w:b/>
                  <w:color w:val="FF00FF"/>
                  <w:sz w:val="28"/>
                  <w:szCs w:val="24"/>
                </w:rPr>
              </w:pPr>
              <w:r>
                <w:rPr>
                  <w:rFonts w:ascii="Arial" w:hAnsi="Arial" w:cs="Arial"/>
                  <w:b/>
                  <w:color w:val="FF00FF"/>
                  <w:sz w:val="28"/>
                  <w:szCs w:val="24"/>
                </w:rPr>
                <w:t>Quality Management</w:t>
              </w:r>
            </w:p>
          </w:tc>
        </w:sdtContent>
      </w:sdt>
    </w:tr>
    <w:tr w:rsidR="00BE11F5" w:rsidRPr="001422CA" w14:paraId="3CDA0CEE" w14:textId="77777777" w:rsidTr="001777AF">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1777AF">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Content>
          <w:tc>
            <w:tcPr>
              <w:tcW w:w="5991" w:type="dxa"/>
            </w:tcPr>
            <w:p w14:paraId="65D2B678" w14:textId="319F1656" w:rsidR="00BE11F5" w:rsidRPr="00644A39" w:rsidRDefault="001777AF" w:rsidP="005C301B">
              <w:pPr>
                <w:ind w:right="-101"/>
                <w:jc w:val="right"/>
                <w:rPr>
                  <w:rFonts w:ascii="Arial" w:hAnsi="Arial" w:cs="Arial"/>
                  <w:bCs/>
                  <w:sz w:val="24"/>
                  <w:szCs w:val="24"/>
                </w:rPr>
              </w:pPr>
              <w:r w:rsidRPr="001777AF">
                <w:rPr>
                  <w:rFonts w:ascii="Arial" w:hAnsi="Arial" w:cs="Arial"/>
                  <w:bCs/>
                  <w:sz w:val="24"/>
                  <w:szCs w:val="24"/>
                </w:rPr>
                <w:t>QM G11</w:t>
              </w:r>
            </w:p>
          </w:tc>
        </w:sdtContent>
      </w:sdt>
    </w:tr>
    <w:tr w:rsidR="00BE11F5" w:rsidRPr="001422CA" w14:paraId="4ACA9C8C" w14:textId="77777777" w:rsidTr="001777AF">
      <w:tc>
        <w:tcPr>
          <w:tcW w:w="3648" w:type="dxa"/>
        </w:tcPr>
        <w:p w14:paraId="59B74D37" w14:textId="587F0212" w:rsidR="00BE11F5" w:rsidRPr="001777AF" w:rsidRDefault="0074110F" w:rsidP="00BE11F5">
          <w:pPr>
            <w:spacing w:before="40"/>
            <w:rPr>
              <w:rFonts w:ascii="Arial" w:hAnsi="Arial" w:cs="Arial"/>
              <w:b/>
              <w:color w:val="FF00FF"/>
              <w:sz w:val="24"/>
              <w:szCs w:val="24"/>
            </w:rPr>
          </w:pPr>
          <w:sdt>
            <w:sdtPr>
              <w:rPr>
                <w:rFonts w:ascii="Arial" w:hAnsi="Arial" w:cs="Arial"/>
                <w:b/>
                <w:color w:val="FF00FF"/>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EB1DA2" w:rsidRPr="001777AF">
                <w:rPr>
                  <w:rFonts w:ascii="Arial" w:hAnsi="Arial" w:cs="Arial"/>
                  <w:b/>
                  <w:color w:val="FF00FF"/>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68FF6750" w:rsidR="00BE11F5" w:rsidRPr="00E2678E" w:rsidRDefault="00EB1DA2" w:rsidP="005C301B">
              <w:pPr>
                <w:pStyle w:val="Footer"/>
                <w:tabs>
                  <w:tab w:val="right" w:pos="9749"/>
                </w:tabs>
                <w:ind w:right="-101"/>
                <w:jc w:val="right"/>
                <w:rPr>
                  <w:rFonts w:ascii="Arial" w:hAnsi="Arial" w:cs="Arial"/>
                  <w:b/>
                  <w:sz w:val="24"/>
                  <w:szCs w:val="24"/>
                </w:rPr>
              </w:pPr>
              <w:r w:rsidRPr="00EB1DA2">
                <w:rPr>
                  <w:rFonts w:ascii="Arial" w:hAnsi="Arial" w:cs="Arial"/>
                  <w:b/>
                  <w:sz w:val="24"/>
                  <w:szCs w:val="24"/>
                </w:rPr>
                <w:t xml:space="preserve">Serious </w:t>
              </w:r>
              <w:r w:rsidR="00387D89">
                <w:rPr>
                  <w:rFonts w:ascii="Arial" w:hAnsi="Arial" w:cs="Arial"/>
                  <w:b/>
                  <w:sz w:val="24"/>
                  <w:szCs w:val="24"/>
                </w:rPr>
                <w:t>B</w:t>
              </w:r>
              <w:r w:rsidRPr="00EB1DA2">
                <w:rPr>
                  <w:rFonts w:ascii="Arial" w:hAnsi="Arial" w:cs="Arial"/>
                  <w:b/>
                  <w:sz w:val="24"/>
                  <w:szCs w:val="24"/>
                </w:rPr>
                <w:t>reaches</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D5F6A"/>
    <w:multiLevelType w:val="hybridMultilevel"/>
    <w:tmpl w:val="61402B6A"/>
    <w:lvl w:ilvl="0" w:tplc="A97EF170">
      <w:start w:val="1"/>
      <w:numFmt w:val="bullet"/>
      <w:lvlText w:val=""/>
      <w:lvlJc w:val="left"/>
      <w:pPr>
        <w:ind w:left="436" w:hanging="360"/>
      </w:pPr>
      <w:rPr>
        <w:rFonts w:ascii="Symbol" w:hAnsi="Symbol" w:hint="default"/>
        <w:sz w:val="16"/>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 w15:restartNumberingAfterBreak="0">
    <w:nsid w:val="20994392"/>
    <w:multiLevelType w:val="hybridMultilevel"/>
    <w:tmpl w:val="13EA6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B6973FD"/>
    <w:multiLevelType w:val="hybridMultilevel"/>
    <w:tmpl w:val="CDDE4B3C"/>
    <w:lvl w:ilvl="0" w:tplc="6E7AADD4">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C9C5083"/>
    <w:multiLevelType w:val="hybridMultilevel"/>
    <w:tmpl w:val="F84887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03840BE"/>
    <w:multiLevelType w:val="hybridMultilevel"/>
    <w:tmpl w:val="1CB24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0865ACF"/>
    <w:multiLevelType w:val="hybridMultilevel"/>
    <w:tmpl w:val="F02C5912"/>
    <w:lvl w:ilvl="0" w:tplc="A97EF170">
      <w:start w:val="1"/>
      <w:numFmt w:val="bullet"/>
      <w:lvlText w:val=""/>
      <w:lvlJc w:val="left"/>
      <w:pPr>
        <w:ind w:left="786" w:hanging="360"/>
      </w:pPr>
      <w:rPr>
        <w:rFonts w:ascii="Symbol" w:hAnsi="Symbol" w:hint="default"/>
        <w:sz w:val="16"/>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 w15:restartNumberingAfterBreak="0">
    <w:nsid w:val="774C6DB2"/>
    <w:multiLevelType w:val="multilevel"/>
    <w:tmpl w:val="2CCE2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2C16CF"/>
    <w:multiLevelType w:val="hybridMultilevel"/>
    <w:tmpl w:val="8D6E1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50509978">
    <w:abstractNumId w:val="6"/>
  </w:num>
  <w:num w:numId="2" w16cid:durableId="1852261979">
    <w:abstractNumId w:val="3"/>
  </w:num>
  <w:num w:numId="3" w16cid:durableId="47458738">
    <w:abstractNumId w:val="1"/>
  </w:num>
  <w:num w:numId="4" w16cid:durableId="1629235542">
    <w:abstractNumId w:val="0"/>
  </w:num>
  <w:num w:numId="5" w16cid:durableId="1581792055">
    <w:abstractNumId w:val="7"/>
  </w:num>
  <w:num w:numId="6" w16cid:durableId="1416710698">
    <w:abstractNumId w:val="5"/>
  </w:num>
  <w:num w:numId="7" w16cid:durableId="1293094848">
    <w:abstractNumId w:val="4"/>
  </w:num>
  <w:num w:numId="8" w16cid:durableId="619729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13754"/>
    <w:rsid w:val="0002392E"/>
    <w:rsid w:val="000241C2"/>
    <w:rsid w:val="00045BFE"/>
    <w:rsid w:val="00054C27"/>
    <w:rsid w:val="00057240"/>
    <w:rsid w:val="00070E03"/>
    <w:rsid w:val="00085469"/>
    <w:rsid w:val="000C1502"/>
    <w:rsid w:val="000C630A"/>
    <w:rsid w:val="000E22DC"/>
    <w:rsid w:val="000E3B45"/>
    <w:rsid w:val="00100772"/>
    <w:rsid w:val="001024A0"/>
    <w:rsid w:val="001026A6"/>
    <w:rsid w:val="00103321"/>
    <w:rsid w:val="00125914"/>
    <w:rsid w:val="001422CA"/>
    <w:rsid w:val="00151518"/>
    <w:rsid w:val="001741CA"/>
    <w:rsid w:val="0017775F"/>
    <w:rsid w:val="001777AF"/>
    <w:rsid w:val="001833FE"/>
    <w:rsid w:val="001866A6"/>
    <w:rsid w:val="001A6015"/>
    <w:rsid w:val="001A6BE8"/>
    <w:rsid w:val="001C0741"/>
    <w:rsid w:val="001D1BDA"/>
    <w:rsid w:val="001E2D4B"/>
    <w:rsid w:val="001F6418"/>
    <w:rsid w:val="002235BA"/>
    <w:rsid w:val="00225C50"/>
    <w:rsid w:val="0023715B"/>
    <w:rsid w:val="0025104F"/>
    <w:rsid w:val="002566F3"/>
    <w:rsid w:val="00286FFC"/>
    <w:rsid w:val="00295404"/>
    <w:rsid w:val="002A6C68"/>
    <w:rsid w:val="002C0349"/>
    <w:rsid w:val="002D4871"/>
    <w:rsid w:val="002E20A5"/>
    <w:rsid w:val="002E253D"/>
    <w:rsid w:val="002E5998"/>
    <w:rsid w:val="00300924"/>
    <w:rsid w:val="00303069"/>
    <w:rsid w:val="00321084"/>
    <w:rsid w:val="00323057"/>
    <w:rsid w:val="00326120"/>
    <w:rsid w:val="0035342E"/>
    <w:rsid w:val="00355A89"/>
    <w:rsid w:val="003576CD"/>
    <w:rsid w:val="0038221B"/>
    <w:rsid w:val="00387D89"/>
    <w:rsid w:val="003908EF"/>
    <w:rsid w:val="003E0A90"/>
    <w:rsid w:val="003E68EE"/>
    <w:rsid w:val="003F32F9"/>
    <w:rsid w:val="00405CF8"/>
    <w:rsid w:val="00440161"/>
    <w:rsid w:val="00462FBA"/>
    <w:rsid w:val="00476B14"/>
    <w:rsid w:val="004944AB"/>
    <w:rsid w:val="004950C0"/>
    <w:rsid w:val="004C46E6"/>
    <w:rsid w:val="004C68A4"/>
    <w:rsid w:val="004D2744"/>
    <w:rsid w:val="004D5208"/>
    <w:rsid w:val="005009FA"/>
    <w:rsid w:val="00516B9D"/>
    <w:rsid w:val="00537307"/>
    <w:rsid w:val="00543C95"/>
    <w:rsid w:val="00565DF2"/>
    <w:rsid w:val="00567F38"/>
    <w:rsid w:val="005729D2"/>
    <w:rsid w:val="00586CE5"/>
    <w:rsid w:val="00593905"/>
    <w:rsid w:val="005A3D53"/>
    <w:rsid w:val="005C301B"/>
    <w:rsid w:val="005D0AA7"/>
    <w:rsid w:val="005D7223"/>
    <w:rsid w:val="005F53A6"/>
    <w:rsid w:val="00602B89"/>
    <w:rsid w:val="006032E5"/>
    <w:rsid w:val="00606D34"/>
    <w:rsid w:val="006111C7"/>
    <w:rsid w:val="006163F0"/>
    <w:rsid w:val="00635D20"/>
    <w:rsid w:val="00644A39"/>
    <w:rsid w:val="00645381"/>
    <w:rsid w:val="00645FF4"/>
    <w:rsid w:val="00657EEC"/>
    <w:rsid w:val="00664F89"/>
    <w:rsid w:val="0066644D"/>
    <w:rsid w:val="006763D7"/>
    <w:rsid w:val="00682B00"/>
    <w:rsid w:val="00684039"/>
    <w:rsid w:val="006A6B40"/>
    <w:rsid w:val="006B3B96"/>
    <w:rsid w:val="006D192F"/>
    <w:rsid w:val="006D3342"/>
    <w:rsid w:val="006E47EE"/>
    <w:rsid w:val="007038FC"/>
    <w:rsid w:val="00726E98"/>
    <w:rsid w:val="00735C9E"/>
    <w:rsid w:val="0074110F"/>
    <w:rsid w:val="00745D8A"/>
    <w:rsid w:val="00750950"/>
    <w:rsid w:val="00764244"/>
    <w:rsid w:val="00774DC4"/>
    <w:rsid w:val="007933C2"/>
    <w:rsid w:val="007A46E1"/>
    <w:rsid w:val="007D59F5"/>
    <w:rsid w:val="007D6C95"/>
    <w:rsid w:val="007E17F0"/>
    <w:rsid w:val="007E7F4C"/>
    <w:rsid w:val="007F5E21"/>
    <w:rsid w:val="00821989"/>
    <w:rsid w:val="00883157"/>
    <w:rsid w:val="008858A8"/>
    <w:rsid w:val="008B6541"/>
    <w:rsid w:val="008C40E9"/>
    <w:rsid w:val="008C4314"/>
    <w:rsid w:val="008C7742"/>
    <w:rsid w:val="008E2BBE"/>
    <w:rsid w:val="008E4A72"/>
    <w:rsid w:val="008E5CAD"/>
    <w:rsid w:val="00930DCF"/>
    <w:rsid w:val="00942051"/>
    <w:rsid w:val="00965184"/>
    <w:rsid w:val="00970C02"/>
    <w:rsid w:val="00976D6D"/>
    <w:rsid w:val="009957C8"/>
    <w:rsid w:val="009B3E23"/>
    <w:rsid w:val="009C1D8F"/>
    <w:rsid w:val="009C5318"/>
    <w:rsid w:val="009E6693"/>
    <w:rsid w:val="00A053AC"/>
    <w:rsid w:val="00A07B69"/>
    <w:rsid w:val="00A07F7E"/>
    <w:rsid w:val="00A278AD"/>
    <w:rsid w:val="00A55A67"/>
    <w:rsid w:val="00A56038"/>
    <w:rsid w:val="00A719F7"/>
    <w:rsid w:val="00AB4925"/>
    <w:rsid w:val="00AC52A7"/>
    <w:rsid w:val="00AD1959"/>
    <w:rsid w:val="00AD373A"/>
    <w:rsid w:val="00AE0928"/>
    <w:rsid w:val="00AF218A"/>
    <w:rsid w:val="00B100E7"/>
    <w:rsid w:val="00B219B5"/>
    <w:rsid w:val="00B3032B"/>
    <w:rsid w:val="00B342E1"/>
    <w:rsid w:val="00B63D7F"/>
    <w:rsid w:val="00B643C0"/>
    <w:rsid w:val="00B74872"/>
    <w:rsid w:val="00B80071"/>
    <w:rsid w:val="00B85E54"/>
    <w:rsid w:val="00B952A8"/>
    <w:rsid w:val="00B96823"/>
    <w:rsid w:val="00BA0F17"/>
    <w:rsid w:val="00BB03E7"/>
    <w:rsid w:val="00BB517F"/>
    <w:rsid w:val="00BC0A15"/>
    <w:rsid w:val="00BC1498"/>
    <w:rsid w:val="00BD1CDF"/>
    <w:rsid w:val="00BE11F5"/>
    <w:rsid w:val="00BF4AF3"/>
    <w:rsid w:val="00C10D08"/>
    <w:rsid w:val="00C306AF"/>
    <w:rsid w:val="00C34E7D"/>
    <w:rsid w:val="00C352D5"/>
    <w:rsid w:val="00C375A2"/>
    <w:rsid w:val="00C54064"/>
    <w:rsid w:val="00C81D4D"/>
    <w:rsid w:val="00CC04D2"/>
    <w:rsid w:val="00CE19AE"/>
    <w:rsid w:val="00CF40E6"/>
    <w:rsid w:val="00D0428B"/>
    <w:rsid w:val="00D16447"/>
    <w:rsid w:val="00D30FDF"/>
    <w:rsid w:val="00D35712"/>
    <w:rsid w:val="00D439D0"/>
    <w:rsid w:val="00D4730D"/>
    <w:rsid w:val="00D532C2"/>
    <w:rsid w:val="00D6752C"/>
    <w:rsid w:val="00D842A1"/>
    <w:rsid w:val="00D9130F"/>
    <w:rsid w:val="00DA5408"/>
    <w:rsid w:val="00DB594D"/>
    <w:rsid w:val="00DF0100"/>
    <w:rsid w:val="00DF28F2"/>
    <w:rsid w:val="00E076B8"/>
    <w:rsid w:val="00E2678E"/>
    <w:rsid w:val="00E41133"/>
    <w:rsid w:val="00E43864"/>
    <w:rsid w:val="00E5121F"/>
    <w:rsid w:val="00E64E37"/>
    <w:rsid w:val="00E715F6"/>
    <w:rsid w:val="00EB1AE6"/>
    <w:rsid w:val="00EB1DA2"/>
    <w:rsid w:val="00EB2B32"/>
    <w:rsid w:val="00ED2CD6"/>
    <w:rsid w:val="00EF19C4"/>
    <w:rsid w:val="00F00BFD"/>
    <w:rsid w:val="00F06C78"/>
    <w:rsid w:val="00F3107B"/>
    <w:rsid w:val="00F364EA"/>
    <w:rsid w:val="00F43233"/>
    <w:rsid w:val="00F62E6E"/>
    <w:rsid w:val="00F91615"/>
    <w:rsid w:val="00FA7473"/>
    <w:rsid w:val="00FB6477"/>
    <w:rsid w:val="00FC5BDB"/>
    <w:rsid w:val="00FD7C70"/>
    <w:rsid w:val="00FE0A08"/>
    <w:rsid w:val="0F47AF5C"/>
    <w:rsid w:val="2DD5FD5B"/>
    <w:rsid w:val="33C46B75"/>
    <w:rsid w:val="5E7F5770"/>
    <w:rsid w:val="6C7900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E934FC5E-E80A-4901-8138-F3B1572E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uiPriority w:val="39"/>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1DA2"/>
    <w:pPr>
      <w:spacing w:after="0" w:line="240" w:lineRule="auto"/>
      <w:ind w:left="720"/>
    </w:pPr>
    <w:rPr>
      <w:rFonts w:ascii="Verdana" w:eastAsia="Times New Roman" w:hAnsi="Verdana" w:cs="Times New Roman"/>
      <w:sz w:val="20"/>
      <w:szCs w:val="24"/>
      <w:lang w:val="en-AU"/>
    </w:rPr>
  </w:style>
  <w:style w:type="paragraph" w:styleId="NormalWeb">
    <w:name w:val="Normal (Web)"/>
    <w:basedOn w:val="Normal"/>
    <w:uiPriority w:val="99"/>
    <w:unhideWhenUsed/>
    <w:rsid w:val="00EB1DA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Emphasis">
    <w:name w:val="Emphasis"/>
    <w:basedOn w:val="DefaultParagraphFont"/>
    <w:uiPriority w:val="20"/>
    <w:qFormat/>
    <w:rsid w:val="00EB1DA2"/>
    <w:rPr>
      <w:i/>
      <w:iCs/>
    </w:rPr>
  </w:style>
  <w:style w:type="paragraph" w:customStyle="1" w:styleId="Pa10">
    <w:name w:val="Pa10"/>
    <w:basedOn w:val="Normal"/>
    <w:next w:val="Normal"/>
    <w:uiPriority w:val="99"/>
    <w:rsid w:val="00EB1DA2"/>
    <w:pPr>
      <w:autoSpaceDE w:val="0"/>
      <w:autoSpaceDN w:val="0"/>
      <w:adjustRightInd w:val="0"/>
      <w:spacing w:after="0" w:line="201" w:lineRule="atLeast"/>
    </w:pPr>
    <w:rPr>
      <w:rFonts w:ascii="HelveticaNeue LightCond" w:hAnsi="HelveticaNeue LightCond"/>
      <w:sz w:val="24"/>
      <w:szCs w:val="24"/>
      <w:lang w:val="en-AU"/>
    </w:rPr>
  </w:style>
  <w:style w:type="character" w:customStyle="1" w:styleId="A9">
    <w:name w:val="A9"/>
    <w:uiPriority w:val="99"/>
    <w:rsid w:val="00EB1DA2"/>
    <w:rPr>
      <w:rFonts w:cs="HelveticaNeue LightCond"/>
      <w:color w:val="000000"/>
      <w:sz w:val="11"/>
      <w:szCs w:val="11"/>
    </w:rPr>
  </w:style>
  <w:style w:type="character" w:styleId="UnresolvedMention">
    <w:name w:val="Unresolved Mention"/>
    <w:basedOn w:val="DefaultParagraphFont"/>
    <w:uiPriority w:val="99"/>
    <w:semiHidden/>
    <w:unhideWhenUsed/>
    <w:rsid w:val="00EB1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hmrc.gov.au/about-us/publications/safety-monitoring-and-reporting-clinical-trials-involving-therapeutic-good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mrc.gov.au/about-us/publications/national-statement-ethical-conduct-human-research-2025"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hmrc.gov.au/about-us/publications/safety-monitoring-and-reporting-clinical-trials-involving-therapeutic-good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hmrc.gov.au/about-us/publications/safety-monitoring-and-reporting-clinical-trials-involving-therapeutic-goo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D87080"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D87080" w:rsidRDefault="00DB594D">
          <w:pPr>
            <w:pStyle w:val="8498262132824A7DB5A9A4632F2BE085"/>
          </w:pPr>
          <w:r w:rsidRPr="00717755">
            <w:rPr>
              <w:rStyle w:val="PlaceholderText"/>
            </w:rPr>
            <w:t>[Document Audience]</w:t>
          </w:r>
        </w:p>
      </w:docPartBody>
    </w:docPart>
    <w:docPart>
      <w:docPartPr>
        <w:name w:val="F2864CAC1E8C4EEDA836482711866479"/>
        <w:category>
          <w:name w:val="General"/>
          <w:gallery w:val="placeholder"/>
        </w:category>
        <w:types>
          <w:type w:val="bbPlcHdr"/>
        </w:types>
        <w:behaviors>
          <w:behavior w:val="content"/>
        </w:behaviors>
        <w:guid w:val="{2328F2E4-2822-4869-BD4D-659AB39EB650}"/>
      </w:docPartPr>
      <w:docPartBody>
        <w:p w:rsidR="00A26D48" w:rsidRDefault="00484A80">
          <w:r w:rsidRPr="00552FBA">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Neue LightCon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2392E"/>
    <w:rsid w:val="000660CA"/>
    <w:rsid w:val="000941AD"/>
    <w:rsid w:val="001B2651"/>
    <w:rsid w:val="002401B1"/>
    <w:rsid w:val="00276DEA"/>
    <w:rsid w:val="002D4871"/>
    <w:rsid w:val="002E126E"/>
    <w:rsid w:val="0031219E"/>
    <w:rsid w:val="00336AF6"/>
    <w:rsid w:val="00393FF5"/>
    <w:rsid w:val="003E0A90"/>
    <w:rsid w:val="003E7BC8"/>
    <w:rsid w:val="004567F9"/>
    <w:rsid w:val="00484A80"/>
    <w:rsid w:val="004944AB"/>
    <w:rsid w:val="00522161"/>
    <w:rsid w:val="00551DA2"/>
    <w:rsid w:val="006E3DBE"/>
    <w:rsid w:val="00745D8A"/>
    <w:rsid w:val="007775A8"/>
    <w:rsid w:val="007E21F2"/>
    <w:rsid w:val="00836BB0"/>
    <w:rsid w:val="008A30CC"/>
    <w:rsid w:val="008A37E3"/>
    <w:rsid w:val="009408CC"/>
    <w:rsid w:val="00974242"/>
    <w:rsid w:val="00986627"/>
    <w:rsid w:val="009A0F52"/>
    <w:rsid w:val="00A26D48"/>
    <w:rsid w:val="00A46229"/>
    <w:rsid w:val="00A83D8E"/>
    <w:rsid w:val="00AD2394"/>
    <w:rsid w:val="00BE43BF"/>
    <w:rsid w:val="00C67C69"/>
    <w:rsid w:val="00D02D7E"/>
    <w:rsid w:val="00D6752C"/>
    <w:rsid w:val="00D87080"/>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4A80"/>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2026-06-28T14:30:00+00:00</Approval_x0020_Date>
    <Future_x0020_Review_x0020_Date xmlns="7ddcbadc-d3de-48fa-832c-2c9760052782">2027-12-08T13:30:00+00:00</Future_x0020_Review_x0020_Date>
    <Team xmlns="7ddcbadc-d3de-48fa-832c-2c9760052782">6</Team>
    <Approval_x0020_Status xmlns="7ddcbadc-d3de-48fa-832c-2c9760052782">Approved</Approval_x0020_Status>
    <Document_x0020_Type xmlns="7ddcbadc-d3de-48fa-832c-2c9760052782">3</Document_x0020_Type>
    <Document_x0020_ID xmlns="7ddcbadc-d3de-48fa-832c-2c9760052782">QM G11</Document_x0020_ID>
    <Document_x0020_Title xmlns="7ddcbadc-d3de-48fa-832c-2c9760052782">Serious Breaches</Document_x0020_Title>
    <Version_x0020_Number xmlns="7ddcbadc-d3de-48fa-832c-2c9760052782">24</Version_x0020_Number>
    <Document_x0020_Category xmlns="7ddcbadc-d3de-48fa-832c-2c9760052782">1</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3.xml><?xml version="1.0" encoding="utf-8"?>
<ds:datastoreItem xmlns:ds="http://schemas.openxmlformats.org/officeDocument/2006/customXml" ds:itemID="{ED8CB35C-FCFE-4BD1-A70C-23255F250822}"/>
</file>

<file path=docProps/app.xml><?xml version="1.0" encoding="utf-8"?>
<Properties xmlns="http://schemas.openxmlformats.org/officeDocument/2006/extended-properties" xmlns:vt="http://schemas.openxmlformats.org/officeDocument/2006/docPropsVTypes">
  <Template>normal</Template>
  <TotalTime>27</TotalTime>
  <Pages>5</Pages>
  <Words>2180</Words>
  <Characters>12429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14</cp:revision>
  <dcterms:created xsi:type="dcterms:W3CDTF">2023-11-05T06:27:00Z</dcterms:created>
  <dcterms:modified xsi:type="dcterms:W3CDTF">2026-06-29T06:10:00Z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Website Document">
    <vt:lpwstr>PDF</vt:lpwstr>
  </property>
  <property fmtid="{D5CDD505-2E9C-101B-9397-08002B2CF9AE}" pid="9" name="LastSubmitter">
    <vt:lpwstr>24</vt:lpwstr>
  </property>
</Properties>
</file>