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21A4" w14:textId="77777777" w:rsidR="00F6493B" w:rsidRPr="00580B62" w:rsidRDefault="00F6493B" w:rsidP="00F6493B">
      <w:pPr>
        <w:pStyle w:val="1-Heading2Bellberry"/>
      </w:pPr>
      <w:r w:rsidRPr="00580B62">
        <w:t>Purpose</w:t>
      </w:r>
    </w:p>
    <w:p w14:paraId="5AC70789" w14:textId="496F6AC2" w:rsidR="00F6493B" w:rsidRPr="00F6493B" w:rsidRDefault="00F6493B" w:rsidP="00F6493B">
      <w:pPr>
        <w:pStyle w:val="3-NormalBellberry"/>
      </w:pPr>
      <w:r>
        <w:t>Guidance for TGA pathway selection for unapproved therapeutic goods and CTN form completion.</w:t>
      </w:r>
    </w:p>
    <w:p w14:paraId="2078F142" w14:textId="77777777" w:rsidR="00F6493B" w:rsidRPr="00580B62" w:rsidRDefault="00F6493B" w:rsidP="00F6493B">
      <w:pPr>
        <w:pStyle w:val="1-Heading2Bellberry"/>
      </w:pPr>
      <w:r w:rsidRPr="00580B62">
        <w:t>Definitions</w:t>
      </w:r>
    </w:p>
    <w:p w14:paraId="5ACC2653" w14:textId="77777777" w:rsidR="00F6493B" w:rsidRDefault="00F6493B" w:rsidP="00F6493B">
      <w:pPr>
        <w:pStyle w:val="3-NormalBellberry"/>
        <w:rPr>
          <w:b/>
          <w:i/>
        </w:rPr>
      </w:pPr>
      <w:r>
        <w:rPr>
          <w:b/>
          <w:i/>
        </w:rPr>
        <w:t xml:space="preserve">CTN: </w:t>
      </w:r>
      <w:r w:rsidRPr="00246D9F">
        <w:t>Clinical Trial Notification</w:t>
      </w:r>
    </w:p>
    <w:p w14:paraId="64E72494" w14:textId="77777777" w:rsidR="00F6493B" w:rsidRDefault="00F6493B" w:rsidP="00F6493B">
      <w:pPr>
        <w:pStyle w:val="3-NormalBellberry"/>
      </w:pPr>
      <w:r>
        <w:rPr>
          <w:b/>
          <w:i/>
        </w:rPr>
        <w:t xml:space="preserve">CTA: </w:t>
      </w:r>
      <w:r w:rsidRPr="00246D9F">
        <w:t>Clinical Trial Approval</w:t>
      </w:r>
    </w:p>
    <w:p w14:paraId="12732739" w14:textId="77777777" w:rsidR="00F6493B" w:rsidRDefault="00F6493B" w:rsidP="00F6493B">
      <w:pPr>
        <w:pStyle w:val="3-NormalBellberry"/>
      </w:pPr>
      <w:r w:rsidRPr="00246D9F">
        <w:rPr>
          <w:b/>
          <w:i/>
        </w:rPr>
        <w:t>HREC:</w:t>
      </w:r>
      <w:r>
        <w:t xml:space="preserve"> Human Research Ethics Committee</w:t>
      </w:r>
    </w:p>
    <w:p w14:paraId="31DDC5A1" w14:textId="525F6D6A" w:rsidR="00F6493B" w:rsidRPr="00F6493B" w:rsidRDefault="00F6493B" w:rsidP="00F6493B">
      <w:pPr>
        <w:pStyle w:val="3-NormalBellberry"/>
        <w:rPr>
          <w:b/>
          <w:i/>
        </w:rPr>
      </w:pPr>
      <w:r w:rsidRPr="00246D9F">
        <w:rPr>
          <w:b/>
          <w:i/>
        </w:rPr>
        <w:t xml:space="preserve">TGA: </w:t>
      </w:r>
      <w:r w:rsidRPr="00246D9F">
        <w:t>Therapeutic Goods Administration</w:t>
      </w:r>
    </w:p>
    <w:p w14:paraId="23F36D0F" w14:textId="77777777" w:rsidR="00F6493B" w:rsidRPr="00580B62" w:rsidRDefault="00F6493B" w:rsidP="00F6493B">
      <w:pPr>
        <w:pStyle w:val="1-Heading2Bellberry"/>
      </w:pPr>
      <w:r w:rsidRPr="00580B62">
        <w:t>Guidance</w:t>
      </w:r>
    </w:p>
    <w:p w14:paraId="6E76D9FF" w14:textId="31F56CA7" w:rsidR="00F6493B" w:rsidRPr="00246D9F" w:rsidRDefault="00F6493B" w:rsidP="00F6493B">
      <w:pPr>
        <w:pStyle w:val="3-NormalBellberry"/>
      </w:pPr>
      <w:r w:rsidRPr="00246D9F">
        <w:t xml:space="preserve">The CTN and CTA </w:t>
      </w:r>
      <w:r>
        <w:t>s</w:t>
      </w:r>
      <w:r w:rsidRPr="00246D9F">
        <w:t xml:space="preserve">chemes are the two avenues provided </w:t>
      </w:r>
      <w:r>
        <w:t xml:space="preserve">by the TGA </w:t>
      </w:r>
      <w:r w:rsidRPr="00246D9F">
        <w:t xml:space="preserve">for the importation into and/or supply in Australia of unapproved therapeutic goods for use in a clinical trial. Clinical trials that do not involve unapproved therapeutic goods are not subject to requirements of the CTN or CTA schemes. </w:t>
      </w:r>
    </w:p>
    <w:p w14:paraId="75E3F933" w14:textId="2F5600C9" w:rsidR="00F6493B" w:rsidRPr="00F6493B" w:rsidRDefault="00F6493B" w:rsidP="00F6493B">
      <w:pPr>
        <w:pStyle w:val="3-NormalBellberry"/>
      </w:pPr>
      <w:r w:rsidRPr="00246D9F">
        <w:t>It is the responsibility of the Australian sponsor to determine whether a product is considered an unapproved therapeutic good. The choice of which scheme to use lies firstly with the Australian sponsor and then with the HREC that reviews the protocol.</w:t>
      </w:r>
    </w:p>
    <w:p w14:paraId="45DC0B91" w14:textId="77777777" w:rsidR="00F6493B" w:rsidRPr="00246D9F" w:rsidRDefault="00F6493B" w:rsidP="00F6493B">
      <w:pPr>
        <w:spacing w:before="40" w:after="40" w:line="276" w:lineRule="auto"/>
        <w:jc w:val="both"/>
        <w:rPr>
          <w:rFonts w:ascii="Arial" w:hAnsi="Arial" w:cs="Arial"/>
          <w:b/>
          <w:bCs/>
          <w:color w:val="000000" w:themeColor="text1"/>
          <w:sz w:val="20"/>
          <w:szCs w:val="20"/>
          <w:lang w:val="en-US"/>
        </w:rPr>
      </w:pPr>
      <w:r w:rsidRPr="00246D9F">
        <w:rPr>
          <w:rFonts w:ascii="Arial" w:hAnsi="Arial" w:cs="Arial"/>
          <w:b/>
          <w:bCs/>
          <w:color w:val="000000" w:themeColor="text1"/>
          <w:sz w:val="20"/>
          <w:szCs w:val="20"/>
          <w:lang w:val="en-US"/>
        </w:rPr>
        <w:t>C</w:t>
      </w:r>
      <w:r>
        <w:rPr>
          <w:rFonts w:ascii="Arial" w:hAnsi="Arial" w:cs="Arial"/>
          <w:b/>
          <w:bCs/>
          <w:color w:val="000000" w:themeColor="text1"/>
          <w:sz w:val="20"/>
          <w:szCs w:val="20"/>
          <w:lang w:val="en-US"/>
        </w:rPr>
        <w:t xml:space="preserve">linical </w:t>
      </w:r>
      <w:r w:rsidRPr="00246D9F">
        <w:rPr>
          <w:rFonts w:ascii="Arial" w:hAnsi="Arial" w:cs="Arial"/>
          <w:b/>
          <w:bCs/>
          <w:color w:val="000000" w:themeColor="text1"/>
          <w:sz w:val="20"/>
          <w:szCs w:val="20"/>
          <w:lang w:val="en-US"/>
        </w:rPr>
        <w:t>T</w:t>
      </w:r>
      <w:r>
        <w:rPr>
          <w:rFonts w:ascii="Arial" w:hAnsi="Arial" w:cs="Arial"/>
          <w:b/>
          <w:bCs/>
          <w:color w:val="000000" w:themeColor="text1"/>
          <w:sz w:val="20"/>
          <w:szCs w:val="20"/>
          <w:lang w:val="en-US"/>
        </w:rPr>
        <w:t xml:space="preserve">rial </w:t>
      </w:r>
      <w:r w:rsidRPr="00246D9F">
        <w:rPr>
          <w:rFonts w:ascii="Arial" w:hAnsi="Arial" w:cs="Arial"/>
          <w:b/>
          <w:bCs/>
          <w:color w:val="000000" w:themeColor="text1"/>
          <w:sz w:val="20"/>
          <w:szCs w:val="20"/>
          <w:lang w:val="en-US"/>
        </w:rPr>
        <w:t>N</w:t>
      </w:r>
      <w:r>
        <w:rPr>
          <w:rFonts w:ascii="Arial" w:hAnsi="Arial" w:cs="Arial"/>
          <w:b/>
          <w:bCs/>
          <w:color w:val="000000" w:themeColor="text1"/>
          <w:sz w:val="20"/>
          <w:szCs w:val="20"/>
          <w:lang w:val="en-US"/>
        </w:rPr>
        <w:t>otification (CTN)</w:t>
      </w:r>
    </w:p>
    <w:p w14:paraId="1E32621B" w14:textId="1168E8C1" w:rsidR="00F6493B" w:rsidRPr="00F6493B" w:rsidRDefault="00F6493B" w:rsidP="00F6493B">
      <w:pPr>
        <w:pStyle w:val="3-NormalBellberry"/>
      </w:pPr>
      <w:r w:rsidRPr="00246D9F">
        <w:t xml:space="preserve">Prior to use, the Australian sponsor must notify the TGA of the intent to sponsor a clinical trial involving an unapproved therapeutic good via submission of a CTN form. The CTN form must be submitted </w:t>
      </w:r>
      <w:r>
        <w:t xml:space="preserve">to the TGA </w:t>
      </w:r>
      <w:r w:rsidRPr="00246D9F">
        <w:t>online</w:t>
      </w:r>
      <w:r>
        <w:t xml:space="preserve">. </w:t>
      </w:r>
      <w:r w:rsidRPr="00246D9F">
        <w:t>CTN submissions must be submitted via the </w:t>
      </w:r>
      <w:hyperlink r:id="rId10" w:history="1">
        <w:r w:rsidRPr="00246D9F">
          <w:rPr>
            <w:rStyle w:val="Hyperlink"/>
            <w:rFonts w:cs="Arial"/>
            <w:szCs w:val="20"/>
          </w:rPr>
          <w:t>TGA Busine</w:t>
        </w:r>
        <w:r w:rsidRPr="00246D9F">
          <w:rPr>
            <w:rStyle w:val="Hyperlink"/>
            <w:rFonts w:cs="Arial"/>
            <w:szCs w:val="20"/>
          </w:rPr>
          <w:t>s</w:t>
        </w:r>
        <w:r w:rsidRPr="00246D9F">
          <w:rPr>
            <w:rStyle w:val="Hyperlink"/>
            <w:rFonts w:cs="Arial"/>
            <w:szCs w:val="20"/>
          </w:rPr>
          <w:t>s Services website</w:t>
        </w:r>
      </w:hyperlink>
      <w:r w:rsidRPr="00246D9F">
        <w:t>.</w:t>
      </w:r>
    </w:p>
    <w:p w14:paraId="0DEA71B7" w14:textId="77777777" w:rsidR="00F6493B" w:rsidRPr="00246D9F" w:rsidRDefault="00F6493B" w:rsidP="00F6493B">
      <w:pPr>
        <w:spacing w:before="40" w:after="40" w:line="276" w:lineRule="auto"/>
        <w:jc w:val="both"/>
        <w:rPr>
          <w:rFonts w:ascii="Arial" w:hAnsi="Arial" w:cs="Arial"/>
          <w:b/>
          <w:bCs/>
          <w:color w:val="000000" w:themeColor="text1"/>
          <w:sz w:val="20"/>
          <w:szCs w:val="20"/>
          <w:lang w:val="en-AU"/>
        </w:rPr>
      </w:pPr>
      <w:r w:rsidRPr="00246D9F">
        <w:rPr>
          <w:rFonts w:ascii="Arial" w:hAnsi="Arial" w:cs="Arial"/>
          <w:b/>
          <w:bCs/>
          <w:color w:val="000000" w:themeColor="text1"/>
          <w:sz w:val="20"/>
          <w:szCs w:val="20"/>
          <w:lang w:val="en-AU"/>
        </w:rPr>
        <w:t>CTN form Bellberry HREC Contact Officer</w:t>
      </w:r>
    </w:p>
    <w:p w14:paraId="3EE1648C" w14:textId="00B5DD67" w:rsidR="00F6493B" w:rsidRPr="00F6493B" w:rsidRDefault="00F6493B" w:rsidP="00F6493B">
      <w:pPr>
        <w:pStyle w:val="3-NormalBellberry"/>
      </w:pPr>
      <w:r w:rsidRPr="00246D9F">
        <w:t xml:space="preserve">(the person who may receive correspondence </w:t>
      </w:r>
      <w:r>
        <w:t>on behalf of the</w:t>
      </w:r>
      <w:r w:rsidRPr="00246D9F">
        <w:t xml:space="preserve"> HREC about the CTN)</w:t>
      </w:r>
    </w:p>
    <w:tbl>
      <w:tblPr>
        <w:tblStyle w:val="TableGrid"/>
        <w:tblW w:w="5000" w:type="pct"/>
        <w:tblLook w:val="04A0" w:firstRow="1" w:lastRow="0" w:firstColumn="1" w:lastColumn="0" w:noHBand="0" w:noVBand="1"/>
      </w:tblPr>
      <w:tblGrid>
        <w:gridCol w:w="3366"/>
        <w:gridCol w:w="6263"/>
      </w:tblGrid>
      <w:tr w:rsidR="00F6493B" w:rsidRPr="00246D9F" w14:paraId="31FFD6FA" w14:textId="77777777" w:rsidTr="00F6493B">
        <w:tc>
          <w:tcPr>
            <w:tcW w:w="1748" w:type="pct"/>
          </w:tcPr>
          <w:p w14:paraId="67DB2433" w14:textId="39903E80"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Name</w:t>
            </w:r>
            <w:r>
              <w:rPr>
                <w:rFonts w:ascii="Arial" w:hAnsi="Arial" w:cs="Arial"/>
                <w:color w:val="000000" w:themeColor="text1"/>
              </w:rPr>
              <w:t>:</w:t>
            </w:r>
          </w:p>
        </w:tc>
        <w:tc>
          <w:tcPr>
            <w:tcW w:w="3252" w:type="pct"/>
          </w:tcPr>
          <w:p w14:paraId="5D08B475" w14:textId="77777777"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Jerneen Williams</w:t>
            </w:r>
          </w:p>
        </w:tc>
      </w:tr>
      <w:tr w:rsidR="00F6493B" w:rsidRPr="00246D9F" w14:paraId="19D66856" w14:textId="77777777" w:rsidTr="00F6493B">
        <w:tc>
          <w:tcPr>
            <w:tcW w:w="1748" w:type="pct"/>
          </w:tcPr>
          <w:p w14:paraId="3EE712EE" w14:textId="6DBA97A1"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Position</w:t>
            </w:r>
            <w:r>
              <w:rPr>
                <w:rFonts w:ascii="Arial" w:hAnsi="Arial" w:cs="Arial"/>
                <w:color w:val="000000" w:themeColor="text1"/>
              </w:rPr>
              <w:t>:</w:t>
            </w:r>
          </w:p>
        </w:tc>
        <w:tc>
          <w:tcPr>
            <w:tcW w:w="3252" w:type="pct"/>
          </w:tcPr>
          <w:p w14:paraId="41CE13B2" w14:textId="77777777"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Director of Operations, Bellberry Ltd</w:t>
            </w:r>
          </w:p>
        </w:tc>
      </w:tr>
      <w:tr w:rsidR="00F6493B" w:rsidRPr="00246D9F" w14:paraId="46AB8921" w14:textId="77777777" w:rsidTr="00F6493B">
        <w:tc>
          <w:tcPr>
            <w:tcW w:w="1748" w:type="pct"/>
          </w:tcPr>
          <w:p w14:paraId="516D6875" w14:textId="2A57E13E"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Contact Number</w:t>
            </w:r>
            <w:r>
              <w:rPr>
                <w:rFonts w:ascii="Arial" w:hAnsi="Arial" w:cs="Arial"/>
                <w:color w:val="000000" w:themeColor="text1"/>
              </w:rPr>
              <w:t>:</w:t>
            </w:r>
          </w:p>
        </w:tc>
        <w:tc>
          <w:tcPr>
            <w:tcW w:w="3252" w:type="pct"/>
          </w:tcPr>
          <w:p w14:paraId="6D4D39B3" w14:textId="77777777"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08 8361 3222</w:t>
            </w:r>
          </w:p>
        </w:tc>
      </w:tr>
      <w:tr w:rsidR="00F6493B" w:rsidRPr="00246D9F" w14:paraId="5C702913" w14:textId="77777777" w:rsidTr="00F6493B">
        <w:tc>
          <w:tcPr>
            <w:tcW w:w="1748" w:type="pct"/>
          </w:tcPr>
          <w:p w14:paraId="3DB88FA1" w14:textId="693360A1"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Contact Email</w:t>
            </w:r>
            <w:r>
              <w:rPr>
                <w:rFonts w:ascii="Arial" w:hAnsi="Arial" w:cs="Arial"/>
                <w:color w:val="000000" w:themeColor="text1"/>
              </w:rPr>
              <w:t>:</w:t>
            </w:r>
          </w:p>
        </w:tc>
        <w:tc>
          <w:tcPr>
            <w:tcW w:w="3252" w:type="pct"/>
          </w:tcPr>
          <w:p w14:paraId="6C6AE8C1" w14:textId="77777777" w:rsidR="00F6493B" w:rsidRPr="00246D9F" w:rsidRDefault="00F6493B" w:rsidP="00411D6D">
            <w:pPr>
              <w:spacing w:before="40" w:after="40" w:line="276" w:lineRule="auto"/>
              <w:jc w:val="both"/>
              <w:rPr>
                <w:rFonts w:ascii="Arial" w:hAnsi="Arial" w:cs="Arial"/>
                <w:color w:val="000000" w:themeColor="text1"/>
              </w:rPr>
            </w:pPr>
            <w:r w:rsidRPr="00246D9F">
              <w:rPr>
                <w:rFonts w:ascii="Arial" w:hAnsi="Arial" w:cs="Arial"/>
                <w:color w:val="000000" w:themeColor="text1"/>
              </w:rPr>
              <w:t>bellberry@bellberry.com.au</w:t>
            </w:r>
          </w:p>
        </w:tc>
      </w:tr>
    </w:tbl>
    <w:p w14:paraId="55E4AC92" w14:textId="77777777" w:rsidR="00F6493B" w:rsidRDefault="00F6493B" w:rsidP="00F6493B">
      <w:pPr>
        <w:spacing w:before="40" w:after="40" w:line="276" w:lineRule="auto"/>
        <w:jc w:val="both"/>
        <w:rPr>
          <w:rFonts w:ascii="Arial" w:hAnsi="Arial" w:cs="Arial"/>
          <w:color w:val="000000" w:themeColor="text1"/>
          <w:sz w:val="20"/>
          <w:szCs w:val="20"/>
          <w:lang w:val="en-AU"/>
        </w:rPr>
      </w:pPr>
    </w:p>
    <w:p w14:paraId="378FF4A9" w14:textId="7C1BBA91" w:rsidR="00F6493B" w:rsidRDefault="00F6493B" w:rsidP="00F6493B">
      <w:pPr>
        <w:pStyle w:val="3-NormalBellberry"/>
      </w:pPr>
      <w:r w:rsidRPr="00246D9F">
        <w:t xml:space="preserve">The TGA does not evaluate any data relating to the clinical trial at the time of submission. The </w:t>
      </w:r>
      <w:r>
        <w:t xml:space="preserve">TGA delegates to the HREC the authority to </w:t>
      </w:r>
      <w:r w:rsidRPr="00246D9F">
        <w:t xml:space="preserve">review the scientific validity of the trial design, the balance of risk versus harm of the therapeutic good, the ethical acceptability of the trial process, and </w:t>
      </w:r>
      <w:r>
        <w:t xml:space="preserve">to </w:t>
      </w:r>
      <w:r w:rsidRPr="00246D9F">
        <w:t>approve the trial protocol.</w:t>
      </w:r>
    </w:p>
    <w:p w14:paraId="126B8366" w14:textId="4ED14862" w:rsidR="00F6493B" w:rsidRDefault="00F6493B" w:rsidP="00F6493B">
      <w:pPr>
        <w:pStyle w:val="3-NormalBellberry"/>
      </w:pPr>
      <w:r w:rsidRPr="00246D9F">
        <w:t>The institution or organisation at which the trial will be conducted, referred to as the 'Approving Authority', gives the final approval for the conduct of the trial at the site, having due regard to advice from the HREC.</w:t>
      </w:r>
    </w:p>
    <w:p w14:paraId="419C9FE5" w14:textId="77777777" w:rsidR="00F6493B" w:rsidRDefault="00F6493B" w:rsidP="00F6493B">
      <w:pPr>
        <w:pStyle w:val="3-NormalBellberry"/>
      </w:pPr>
      <w:r w:rsidRPr="00246D9F">
        <w:t>It is the responsibility of the sponsor to ensure that all relevant approvals are in place before supplying the unapproved therapeutic goods in the clinical trial.</w:t>
      </w:r>
    </w:p>
    <w:p w14:paraId="30AEE4BE" w14:textId="77777777" w:rsidR="00F6493B" w:rsidRDefault="00F6493B" w:rsidP="00F6493B">
      <w:pPr>
        <w:spacing w:before="40" w:after="40" w:line="276" w:lineRule="auto"/>
        <w:jc w:val="both"/>
        <w:rPr>
          <w:rFonts w:ascii="Arial" w:hAnsi="Arial" w:cs="Arial"/>
          <w:color w:val="000000" w:themeColor="text1"/>
          <w:sz w:val="20"/>
          <w:szCs w:val="20"/>
          <w:lang w:val="en-AU"/>
        </w:rPr>
      </w:pPr>
    </w:p>
    <w:p w14:paraId="408A0A9D" w14:textId="77777777" w:rsidR="00F6493B" w:rsidRDefault="00F6493B" w:rsidP="00F6493B">
      <w:pPr>
        <w:spacing w:before="40" w:after="40" w:line="276" w:lineRule="auto"/>
        <w:jc w:val="both"/>
        <w:rPr>
          <w:rFonts w:ascii="Arial" w:hAnsi="Arial" w:cs="Arial"/>
          <w:color w:val="000000" w:themeColor="text1"/>
          <w:sz w:val="20"/>
          <w:szCs w:val="20"/>
          <w:lang w:val="en-AU"/>
        </w:rPr>
      </w:pPr>
    </w:p>
    <w:p w14:paraId="0AC60EB7" w14:textId="77777777" w:rsidR="00F6493B" w:rsidRDefault="00F6493B" w:rsidP="00F6493B">
      <w:pPr>
        <w:spacing w:before="40" w:after="40" w:line="276" w:lineRule="auto"/>
        <w:jc w:val="both"/>
        <w:rPr>
          <w:rFonts w:ascii="Arial" w:hAnsi="Arial" w:cs="Arial"/>
          <w:color w:val="000000" w:themeColor="text1"/>
          <w:sz w:val="20"/>
          <w:szCs w:val="20"/>
          <w:lang w:val="en-AU"/>
        </w:rPr>
      </w:pPr>
    </w:p>
    <w:p w14:paraId="6B2F489C" w14:textId="77777777" w:rsidR="00F6493B" w:rsidRPr="00246D9F" w:rsidRDefault="00F6493B" w:rsidP="00F6493B">
      <w:pPr>
        <w:spacing w:before="40" w:after="40" w:line="276" w:lineRule="auto"/>
        <w:jc w:val="both"/>
        <w:rPr>
          <w:rFonts w:ascii="Arial" w:hAnsi="Arial" w:cs="Arial"/>
          <w:color w:val="000000" w:themeColor="text1"/>
          <w:sz w:val="20"/>
          <w:szCs w:val="20"/>
          <w:lang w:val="en-AU"/>
        </w:rPr>
      </w:pPr>
    </w:p>
    <w:p w14:paraId="1001897A" w14:textId="77777777" w:rsidR="00F6493B" w:rsidRPr="00246D9F" w:rsidRDefault="00F6493B" w:rsidP="00F6493B">
      <w:pPr>
        <w:spacing w:before="40" w:after="40" w:line="276" w:lineRule="auto"/>
        <w:jc w:val="both"/>
        <w:rPr>
          <w:rFonts w:ascii="Arial" w:hAnsi="Arial" w:cs="Arial"/>
          <w:b/>
          <w:bCs/>
          <w:color w:val="000000" w:themeColor="text1"/>
          <w:sz w:val="20"/>
          <w:szCs w:val="20"/>
          <w:lang w:val="en-AU"/>
        </w:rPr>
      </w:pPr>
      <w:r w:rsidRPr="00246D9F">
        <w:rPr>
          <w:rFonts w:ascii="Arial" w:hAnsi="Arial" w:cs="Arial"/>
          <w:b/>
          <w:bCs/>
          <w:color w:val="000000" w:themeColor="text1"/>
          <w:sz w:val="20"/>
          <w:szCs w:val="20"/>
          <w:lang w:val="en-AU"/>
        </w:rPr>
        <w:lastRenderedPageBreak/>
        <w:t>C</w:t>
      </w:r>
      <w:r>
        <w:rPr>
          <w:rFonts w:ascii="Arial" w:hAnsi="Arial" w:cs="Arial"/>
          <w:b/>
          <w:bCs/>
          <w:color w:val="000000" w:themeColor="text1"/>
          <w:sz w:val="20"/>
          <w:szCs w:val="20"/>
          <w:lang w:val="en-AU"/>
        </w:rPr>
        <w:t xml:space="preserve">linical </w:t>
      </w:r>
      <w:r w:rsidRPr="00246D9F">
        <w:rPr>
          <w:rFonts w:ascii="Arial" w:hAnsi="Arial" w:cs="Arial"/>
          <w:b/>
          <w:bCs/>
          <w:color w:val="000000" w:themeColor="text1"/>
          <w:sz w:val="20"/>
          <w:szCs w:val="20"/>
          <w:lang w:val="en-AU"/>
        </w:rPr>
        <w:t>T</w:t>
      </w:r>
      <w:r>
        <w:rPr>
          <w:rFonts w:ascii="Arial" w:hAnsi="Arial" w:cs="Arial"/>
          <w:b/>
          <w:bCs/>
          <w:color w:val="000000" w:themeColor="text1"/>
          <w:sz w:val="20"/>
          <w:szCs w:val="20"/>
          <w:lang w:val="en-AU"/>
        </w:rPr>
        <w:t xml:space="preserve">rial </w:t>
      </w:r>
      <w:r w:rsidRPr="00246D9F">
        <w:rPr>
          <w:rFonts w:ascii="Arial" w:hAnsi="Arial" w:cs="Arial"/>
          <w:b/>
          <w:bCs/>
          <w:color w:val="000000" w:themeColor="text1"/>
          <w:sz w:val="20"/>
          <w:szCs w:val="20"/>
          <w:lang w:val="en-AU"/>
        </w:rPr>
        <w:t>A</w:t>
      </w:r>
      <w:r>
        <w:rPr>
          <w:rFonts w:ascii="Arial" w:hAnsi="Arial" w:cs="Arial"/>
          <w:b/>
          <w:bCs/>
          <w:color w:val="000000" w:themeColor="text1"/>
          <w:sz w:val="20"/>
          <w:szCs w:val="20"/>
          <w:lang w:val="en-AU"/>
        </w:rPr>
        <w:t>pproval (CTA)</w:t>
      </w:r>
    </w:p>
    <w:p w14:paraId="7A6C93BE" w14:textId="4DD2AD3E" w:rsidR="00F6493B" w:rsidRPr="00F6493B" w:rsidRDefault="00F6493B" w:rsidP="00F6493B">
      <w:pPr>
        <w:pStyle w:val="3-NormalBellberry"/>
        <w:rPr>
          <w:lang w:val="en-US"/>
        </w:rPr>
      </w:pPr>
      <w:r w:rsidRPr="00246D9F">
        <w:t xml:space="preserve">The CTA </w:t>
      </w:r>
      <w:r>
        <w:t>pathway</w:t>
      </w:r>
      <w:r w:rsidRPr="00246D9F">
        <w:t xml:space="preserve"> is designed for high-risk or novel treatments where there is no or limited knowledge of safety. In this pathway the research application is reviewed by the TGA first and then by the HREC. Please refer to the TGA website for more information.</w:t>
      </w:r>
    </w:p>
    <w:p w14:paraId="326CD37D" w14:textId="77777777" w:rsidR="00F6493B" w:rsidRPr="00580B62" w:rsidRDefault="00F6493B" w:rsidP="00F6493B">
      <w:pPr>
        <w:pStyle w:val="1-Heading2Bellberry"/>
      </w:pPr>
      <w:r w:rsidRPr="00580B62">
        <w:t>References</w:t>
      </w:r>
    </w:p>
    <w:p w14:paraId="13FA38CE" w14:textId="3D8C6978" w:rsidR="00F6493B" w:rsidRDefault="00F6493B" w:rsidP="00F6493B">
      <w:pPr>
        <w:pStyle w:val="3-NormalBellberry"/>
        <w:spacing w:after="0"/>
      </w:pPr>
      <w:hyperlink r:id="rId11" w:history="1">
        <w:r w:rsidRPr="00246D9F">
          <w:rPr>
            <w:rStyle w:val="Hyperlink"/>
          </w:rPr>
          <w:t>TGA Access Path</w:t>
        </w:r>
        <w:r w:rsidRPr="00246D9F">
          <w:rPr>
            <w:rStyle w:val="Hyperlink"/>
          </w:rPr>
          <w:t>w</w:t>
        </w:r>
        <w:r w:rsidRPr="00246D9F">
          <w:rPr>
            <w:rStyle w:val="Hyperlink"/>
          </w:rPr>
          <w:t xml:space="preserve">ays </w:t>
        </w:r>
        <w:r w:rsidRPr="00246D9F">
          <w:rPr>
            <w:rStyle w:val="Hyperlink"/>
          </w:rPr>
          <w:t>for</w:t>
        </w:r>
        <w:r w:rsidRPr="00246D9F">
          <w:rPr>
            <w:rStyle w:val="Hyperlink"/>
          </w:rPr>
          <w:t xml:space="preserve"> Unapproved Therapeutic Goods</w:t>
        </w:r>
      </w:hyperlink>
    </w:p>
    <w:p w14:paraId="0161FAE0" w14:textId="77777777" w:rsidR="00F6493B" w:rsidRDefault="00F6493B" w:rsidP="00F6493B">
      <w:pPr>
        <w:pStyle w:val="3-NormalBellberry"/>
        <w:spacing w:after="0"/>
      </w:pPr>
      <w:hyperlink r:id="rId12" w:history="1">
        <w:r w:rsidRPr="00246D9F">
          <w:rPr>
            <w:rStyle w:val="Hyperlink"/>
          </w:rPr>
          <w:t>Clinical Tria</w:t>
        </w:r>
        <w:r w:rsidRPr="00246D9F">
          <w:rPr>
            <w:rStyle w:val="Hyperlink"/>
          </w:rPr>
          <w:t>l</w:t>
        </w:r>
        <w:r w:rsidRPr="00246D9F">
          <w:rPr>
            <w:rStyle w:val="Hyperlink"/>
          </w:rPr>
          <w:t xml:space="preserve"> Notification (CTN) Scheme</w:t>
        </w:r>
      </w:hyperlink>
    </w:p>
    <w:p w14:paraId="26E21428" w14:textId="77777777" w:rsidR="00F6493B" w:rsidRDefault="00F6493B" w:rsidP="00F6493B">
      <w:pPr>
        <w:pStyle w:val="3-NormalBellberry"/>
        <w:spacing w:after="0"/>
      </w:pPr>
      <w:hyperlink r:id="rId13" w:history="1">
        <w:r w:rsidRPr="00246D9F">
          <w:rPr>
            <w:rStyle w:val="Hyperlink"/>
          </w:rPr>
          <w:t xml:space="preserve">Clinical Trial </w:t>
        </w:r>
        <w:r w:rsidRPr="00246D9F">
          <w:rPr>
            <w:rStyle w:val="Hyperlink"/>
          </w:rPr>
          <w:t>A</w:t>
        </w:r>
        <w:r w:rsidRPr="00246D9F">
          <w:rPr>
            <w:rStyle w:val="Hyperlink"/>
          </w:rPr>
          <w:t>pproval Scheme Forms</w:t>
        </w:r>
      </w:hyperlink>
    </w:p>
    <w:p w14:paraId="1D49C601" w14:textId="14ED3765" w:rsidR="00300924" w:rsidRPr="007B19D7" w:rsidRDefault="00300924" w:rsidP="007B19D7"/>
    <w:sectPr w:rsidR="00300924" w:rsidRPr="007B19D7" w:rsidSect="00C54064">
      <w:headerReference w:type="default" r:id="rId14"/>
      <w:footerReference w:type="default" r:id="rId15"/>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8DF9" w14:textId="77777777" w:rsidR="001858BC" w:rsidRDefault="001858BC" w:rsidP="008C7742">
      <w:pPr>
        <w:spacing w:after="0" w:line="240" w:lineRule="auto"/>
      </w:pPr>
      <w:r>
        <w:separator/>
      </w:r>
    </w:p>
  </w:endnote>
  <w:endnote w:type="continuationSeparator" w:id="0">
    <w:p w14:paraId="10B02F72" w14:textId="77777777" w:rsidR="001858BC" w:rsidRDefault="001858BC" w:rsidP="008C7742">
      <w:pPr>
        <w:spacing w:after="0" w:line="240" w:lineRule="auto"/>
      </w:pPr>
      <w:r>
        <w:continuationSeparator/>
      </w:r>
    </w:p>
  </w:endnote>
  <w:endnote w:type="continuationNotice" w:id="1">
    <w:p w14:paraId="1EE9694E" w14:textId="77777777" w:rsidR="001858BC" w:rsidRDefault="00185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4531D2A7" w:rsidR="007A46E1" w:rsidRPr="00606D34" w:rsidRDefault="00476B14" w:rsidP="00A87A30">
    <w:pPr>
      <w:pStyle w:val="Footer"/>
      <w:pBdr>
        <w:top w:val="single" w:sz="18" w:space="1" w:color="008000"/>
      </w:pBdr>
      <w:tabs>
        <w:tab w:val="clear" w:pos="4513"/>
        <w:tab w:val="clear" w:pos="9026"/>
        <w:tab w:val="center" w:pos="9214"/>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dateFormat w:val="d/MM/yyyy"/>
          <w:lid w:val="en-AU"/>
          <w:storeMappedDataAs w:val="dateTime"/>
          <w:calendar w:val="gregorian"/>
        </w:date>
      </w:sdtPr>
      <w:sdtEndPr/>
      <w:sdtContent>
        <w:r w:rsidR="002C0349" w:rsidRPr="00717755">
          <w:rPr>
            <w:rStyle w:val="PlaceholderText"/>
          </w:rPr>
          <w:t>[Approval Date]</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C77B31" w:rsidRPr="004F6D12">
          <w:rPr>
            <w:rStyle w:val="PlaceholderText"/>
          </w:rPr>
          <w:t>[Doc Owner Role]</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331C" w14:textId="77777777" w:rsidR="001858BC" w:rsidRDefault="001858BC" w:rsidP="008C7742">
      <w:pPr>
        <w:spacing w:after="0" w:line="240" w:lineRule="auto"/>
      </w:pPr>
      <w:r>
        <w:separator/>
      </w:r>
    </w:p>
  </w:footnote>
  <w:footnote w:type="continuationSeparator" w:id="0">
    <w:p w14:paraId="0A7638C1" w14:textId="77777777" w:rsidR="001858BC" w:rsidRDefault="001858BC" w:rsidP="008C7742">
      <w:pPr>
        <w:spacing w:after="0" w:line="240" w:lineRule="auto"/>
      </w:pPr>
      <w:r>
        <w:continuationSeparator/>
      </w:r>
    </w:p>
  </w:footnote>
  <w:footnote w:type="continuationNotice" w:id="1">
    <w:p w14:paraId="6E288077" w14:textId="77777777" w:rsidR="001858BC" w:rsidRDefault="00185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519570F3" w:rsidR="00BE11F5" w:rsidRPr="001F3A3F" w:rsidRDefault="00F6493B" w:rsidP="005C301B">
              <w:pPr>
                <w:ind w:right="-101"/>
                <w:jc w:val="right"/>
                <w:rPr>
                  <w:rFonts w:asciiTheme="minorHAnsi" w:hAnsiTheme="minorHAnsi" w:cstheme="minorHAnsi"/>
                  <w:bCs/>
                  <w:sz w:val="24"/>
                  <w:szCs w:val="24"/>
                </w:rPr>
              </w:pPr>
              <w:r w:rsidRPr="00F6493B">
                <w:rPr>
                  <w:rFonts w:ascii="Arial" w:hAnsi="Arial" w:cs="Arial"/>
                  <w:bCs/>
                  <w:sz w:val="24"/>
                  <w:szCs w:val="24"/>
                </w:rPr>
                <w:t>BA G17</w:t>
              </w:r>
            </w:p>
          </w:tc>
        </w:sdtContent>
      </w:sdt>
    </w:tr>
    <w:tr w:rsidR="00BE11F5" w:rsidRPr="001422CA" w14:paraId="4ACA9C8C" w14:textId="77777777" w:rsidTr="006111C7">
      <w:tc>
        <w:tcPr>
          <w:tcW w:w="3648" w:type="dxa"/>
        </w:tcPr>
        <w:p w14:paraId="59B74D37" w14:textId="75D83D17" w:rsidR="00BE11F5" w:rsidRPr="001F3A3F" w:rsidRDefault="001858BC"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12F0E8D3" w:rsidR="00BE11F5" w:rsidRPr="001422CA" w:rsidRDefault="00F6493B" w:rsidP="005C301B">
              <w:pPr>
                <w:pStyle w:val="Footer"/>
                <w:tabs>
                  <w:tab w:val="right" w:pos="9749"/>
                </w:tabs>
                <w:ind w:right="-101"/>
                <w:jc w:val="right"/>
                <w:rPr>
                  <w:rFonts w:ascii="Arial" w:hAnsi="Arial" w:cs="Arial"/>
                  <w:b/>
                  <w:sz w:val="24"/>
                  <w:szCs w:val="24"/>
                </w:rPr>
              </w:pPr>
              <w:r w:rsidRPr="00F6493B">
                <w:rPr>
                  <w:rFonts w:ascii="Arial" w:hAnsi="Arial" w:cs="Arial"/>
                  <w:b/>
                  <w:color w:val="000000" w:themeColor="text1"/>
                  <w:sz w:val="24"/>
                  <w:szCs w:val="24"/>
                </w:rPr>
                <w:t>TGA CTN &amp; CTA Schemes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00003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58BC"/>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300924"/>
    <w:rsid w:val="00323057"/>
    <w:rsid w:val="0035342E"/>
    <w:rsid w:val="00355A89"/>
    <w:rsid w:val="003576CD"/>
    <w:rsid w:val="0038221B"/>
    <w:rsid w:val="003908EF"/>
    <w:rsid w:val="003E0A90"/>
    <w:rsid w:val="003E68EE"/>
    <w:rsid w:val="00431071"/>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0B62"/>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858A8"/>
    <w:rsid w:val="008A2489"/>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6038"/>
    <w:rsid w:val="00A719F7"/>
    <w:rsid w:val="00A87A30"/>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1192"/>
    <w:rsid w:val="00F62E6E"/>
    <w:rsid w:val="00F6493B"/>
    <w:rsid w:val="00F91615"/>
    <w:rsid w:val="00FA7473"/>
    <w:rsid w:val="00FC5BDB"/>
    <w:rsid w:val="00FD7C70"/>
    <w:rsid w:val="0F47AF5C"/>
    <w:rsid w:val="178418BB"/>
    <w:rsid w:val="2DD5FD5B"/>
    <w:rsid w:val="31816262"/>
    <w:rsid w:val="33C46B75"/>
    <w:rsid w:val="62695922"/>
    <w:rsid w:val="7EBFD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6493B"/>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6493B"/>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3B"/>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F6493B"/>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F6493B"/>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customStyle="1" w:styleId="1-Heading2Bellberry">
    <w:name w:val="1 - Heading 2 (Bellberry)"/>
    <w:basedOn w:val="Heading1"/>
    <w:next w:val="Normal"/>
    <w:link w:val="1-Heading2BellberryChar"/>
    <w:autoRedefine/>
    <w:qFormat/>
    <w:rsid w:val="00F6493B"/>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F6493B"/>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F6493B"/>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F6493B"/>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F6493B"/>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F6493B"/>
    <w:pPr>
      <w:numPr>
        <w:numId w:val="1"/>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F6493B"/>
    <w:rPr>
      <w:rFonts w:ascii="Arial" w:eastAsia="Arial" w:hAnsi="Arial" w:cs="Arial"/>
      <w:color w:val="000000" w:themeColor="text1"/>
      <w:sz w:val="20"/>
      <w:szCs w:val="20"/>
    </w:rPr>
  </w:style>
  <w:style w:type="paragraph" w:styleId="ListParagraph">
    <w:name w:val="List Paragraph"/>
    <w:basedOn w:val="Normal"/>
    <w:uiPriority w:val="34"/>
    <w:semiHidden/>
    <w:qFormat/>
    <w:rsid w:val="00F64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ga.gov.au/resources/resources/forms/cta-scheme-for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ga.gov.au/products/unapproved-therapeutic-goods/access-pathways/clinical-trials/clinical-trial-notification-ctn-schem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ga.gov.au/products/unapproved-therapeutic-goods/access-pathway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tga.gov.au/tga-business-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9F6B04"/>
    <w:rsid w:val="00A46229"/>
    <w:rsid w:val="00A83D8E"/>
    <w:rsid w:val="00C67C69"/>
    <w:rsid w:val="00D02D7E"/>
    <w:rsid w:val="00DB594D"/>
    <w:rsid w:val="00E15B80"/>
    <w:rsid w:val="00E62818"/>
    <w:rsid w:val="00F06538"/>
    <w:rsid w:val="00F611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2026-02-12T13:30:00+00:00</Approval_x0020_Date>
    <Future_x0020_Review_x0020_Date xmlns="7ddcbadc-d3de-48fa-832c-2c9760052782">2028-02-12T13:30:00+00:00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G17</Document_x0020_ID>
    <Document_x0020_Title xmlns="7ddcbadc-d3de-48fa-832c-2c9760052782">TGA CTN &amp; CTA Schemes</Document_x0020_Title>
    <Version_x0020_Number xmlns="7ddcbadc-d3de-48fa-832c-2c9760052782">2</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36C848A9-D515-47A7-8070-2B2F5CAEE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2515</Characters>
  <Application>Microsoft Office Word</Application>
  <DocSecurity>0</DocSecurity>
  <Lines>38</Lines>
  <Paragraphs>24</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5</cp:revision>
  <dcterms:created xsi:type="dcterms:W3CDTF">2024-02-08T23:51:00Z</dcterms:created>
  <dcterms:modified xsi:type="dcterms:W3CDTF">2026-02-13T00:19:00Z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